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3.png" ContentType="image/png"/>
  <Override PartName="/word/media/image1.jpeg" ContentType="image/jpe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1" w:before="0" w:after="4"/>
        <w:ind w:left="984" w:right="238" w:hanging="0"/>
        <w:jc w:val="center"/>
        <w:rPr/>
      </w:pPr>
      <w:r>
        <w:rPr/>
      </w:r>
    </w:p>
    <w:p>
      <w:pPr>
        <w:pStyle w:val="Normal"/>
        <w:spacing w:lineRule="auto" w:line="259" w:before="33" w:after="189"/>
        <w:ind w:left="0" w:right="0" w:hanging="0"/>
        <w:jc w:val="left"/>
        <w:rPr/>
      </w:pPr>
      <w:r>
        <w:rPr/>
      </w:r>
    </w:p>
    <w:p>
      <w:pPr>
        <w:pStyle w:val="Normal"/>
        <w:spacing w:lineRule="auto" w:line="259" w:before="0" w:after="0"/>
        <w:ind w:left="783" w:right="0" w:hanging="0"/>
        <w:jc w:val="center"/>
        <w:rPr/>
      </w:pPr>
      <w:r>
        <w:rPr/>
      </w:r>
    </w:p>
    <w:p>
      <w:pPr>
        <w:pStyle w:val="Normal"/>
        <w:spacing w:lineRule="auto" w:line="259" w:before="0" w:after="0"/>
        <w:ind w:left="783" w:right="0" w:hanging="0"/>
        <w:jc w:val="center"/>
        <w:rPr/>
      </w:pPr>
      <w:r>
        <w:rPr/>
      </w:r>
    </w:p>
    <w:p>
      <w:pPr>
        <w:pStyle w:val="Normal"/>
        <w:spacing w:lineRule="auto" w:line="259" w:before="0" w:after="0"/>
        <w:ind w:left="783" w:right="0" w:hanging="0"/>
        <w:jc w:val="center"/>
        <w:rPr/>
      </w:pPr>
      <w:r>
        <w:rPr/>
      </w:r>
    </w:p>
    <w:p>
      <w:pPr>
        <w:pStyle w:val="Normal"/>
        <w:spacing w:lineRule="auto" w:line="259" w:before="0" w:after="0"/>
        <w:ind w:left="783" w:right="0" w:hanging="0"/>
        <w:jc w:val="center"/>
        <w:rPr>
          <w:b/>
          <w:b/>
          <w:sz w:val="32"/>
        </w:rPr>
      </w:pPr>
      <w:r>
        <w:rPr>
          <w:b/>
          <w:sz w:val="32"/>
        </w:rPr>
      </w:r>
    </w:p>
    <w:p>
      <w:pPr>
        <w:pStyle w:val="Normal"/>
        <w:spacing w:lineRule="auto" w:line="259" w:before="0" w:after="0"/>
        <w:ind w:left="783" w:right="0" w:hanging="0"/>
        <w:jc w:val="center"/>
        <w:rPr>
          <w:b/>
          <w:b/>
          <w:sz w:val="32"/>
        </w:rPr>
      </w:pPr>
      <w:r>
        <w:rPr>
          <w:b/>
          <w:sz w:val="32"/>
        </w:rPr>
      </w:r>
    </w:p>
    <w:p>
      <w:pPr>
        <w:pStyle w:val="Normal"/>
        <w:spacing w:lineRule="auto" w:line="259" w:before="0" w:after="0"/>
        <w:ind w:left="783" w:right="0" w:hanging="0"/>
        <w:jc w:val="center"/>
        <w:rPr>
          <w:b/>
          <w:b/>
          <w:sz w:val="32"/>
        </w:rPr>
      </w:pPr>
      <w:r>
        <w:rPr>
          <w:b/>
          <w:sz w:val="32"/>
        </w:rPr>
      </w:r>
    </w:p>
    <w:p>
      <w:pPr>
        <w:pStyle w:val="Normal"/>
        <w:spacing w:lineRule="auto" w:line="259" w:before="0" w:after="0"/>
        <w:ind w:left="783" w:right="0" w:hanging="0"/>
        <w:jc w:val="center"/>
        <w:rPr>
          <w:b/>
          <w:b/>
          <w:sz w:val="32"/>
        </w:rPr>
      </w:pPr>
      <w:r>
        <w:rPr>
          <w:b/>
          <w:sz w:val="32"/>
        </w:rPr>
      </w:r>
    </w:p>
    <w:p>
      <w:pPr>
        <w:pStyle w:val="Normal"/>
        <w:spacing w:lineRule="auto" w:line="259" w:before="0" w:after="0"/>
        <w:ind w:left="783" w:right="0" w:hanging="0"/>
        <w:jc w:val="center"/>
        <w:rPr>
          <w:b/>
          <w:b/>
          <w:sz w:val="32"/>
        </w:rPr>
      </w:pPr>
      <w:r>
        <w:rPr>
          <w:b/>
          <w:sz w:val="32"/>
        </w:rPr>
      </w:r>
    </w:p>
    <w:p>
      <w:pPr>
        <w:pStyle w:val="Normal"/>
        <w:spacing w:lineRule="auto" w:line="259" w:before="0" w:after="0"/>
        <w:ind w:left="783" w:right="0" w:hanging="0"/>
        <w:jc w:val="center"/>
        <w:rPr>
          <w:b/>
          <w:b/>
          <w:sz w:val="32"/>
        </w:rPr>
      </w:pPr>
      <w:r>
        <w:rPr>
          <w:b/>
          <w:sz w:val="32"/>
        </w:rPr>
      </w:r>
    </w:p>
    <w:p>
      <w:pPr>
        <w:pStyle w:val="Normal"/>
        <w:spacing w:lineRule="auto" w:line="259" w:before="0" w:after="0"/>
        <w:ind w:left="783" w:right="0" w:hanging="0"/>
        <w:jc w:val="center"/>
        <w:rPr/>
      </w:pPr>
      <w:r>
        <w:rPr/>
      </w:r>
    </w:p>
    <w:p>
      <w:pPr>
        <w:pStyle w:val="Normal"/>
        <w:spacing w:lineRule="auto" w:line="259" w:before="0" w:after="0"/>
        <w:ind w:left="783" w:right="0" w:hanging="0"/>
        <w:jc w:val="center"/>
        <w:rPr/>
      </w:pPr>
      <w:r>
        <w:rPr/>
      </w:r>
    </w:p>
    <w:p>
      <w:pPr>
        <w:pStyle w:val="Normal"/>
        <w:spacing w:lineRule="auto" w:line="259" w:before="0" w:after="9"/>
        <w:ind w:left="783" w:right="0" w:hanging="0"/>
        <w:jc w:val="center"/>
        <w:rPr/>
      </w:pPr>
      <w:r>
        <w:rPr/>
      </w:r>
    </w:p>
    <w:p>
      <w:pPr>
        <w:pStyle w:val="Normal"/>
        <w:spacing w:lineRule="auto" w:line="259" w:before="0" w:after="0"/>
        <w:ind w:left="706" w:right="4" w:hanging="10"/>
        <w:jc w:val="center"/>
        <w:rPr/>
      </w:pPr>
      <w:r>
        <w:rPr>
          <w:b/>
          <w:sz w:val="36"/>
        </w:rPr>
        <w:t>SST NR 6</w:t>
      </w:r>
    </w:p>
    <w:p>
      <w:pPr>
        <w:pStyle w:val="Normal"/>
        <w:spacing w:lineRule="auto" w:line="259" w:before="0" w:after="0"/>
        <w:ind w:left="794" w:right="0" w:hanging="0"/>
        <w:jc w:val="center"/>
        <w:rPr/>
      </w:pPr>
      <w:r>
        <w:rPr/>
      </w:r>
    </w:p>
    <w:p>
      <w:pPr>
        <w:pStyle w:val="Normal"/>
        <w:spacing w:lineRule="auto" w:line="259" w:before="0" w:after="28"/>
        <w:ind w:left="0" w:right="0" w:hanging="0"/>
        <w:jc w:val="right"/>
        <w:rPr/>
      </w:pPr>
      <w:r>
        <w:rPr>
          <w:b/>
          <w:sz w:val="36"/>
        </w:rPr>
        <w:t>NAWIERZCHNIA Z BETONU ASFALTOWEGO</w:t>
      </w:r>
    </w:p>
    <w:p>
      <w:pPr>
        <w:pStyle w:val="Normal"/>
        <w:spacing w:lineRule="auto" w:line="259" w:before="0" w:after="28"/>
        <w:ind w:left="0" w:right="0" w:hanging="0"/>
        <w:jc w:val="right"/>
        <w:rPr/>
      </w:pPr>
      <w:r>
        <w:rPr/>
      </w:r>
    </w:p>
    <w:p>
      <w:pPr>
        <w:pStyle w:val="Normal"/>
        <w:spacing w:lineRule="auto" w:line="259" w:before="0" w:after="0"/>
        <w:ind w:left="706" w:right="0" w:hanging="10"/>
        <w:jc w:val="center"/>
        <w:rPr/>
      </w:pPr>
      <w:r>
        <w:rPr>
          <w:b/>
          <w:sz w:val="36"/>
        </w:rPr>
        <w:t xml:space="preserve">WARSTWA WIĄŻĄCA  </w:t>
      </w:r>
    </w:p>
    <w:p>
      <w:pPr>
        <w:pStyle w:val="Normal"/>
        <w:spacing w:lineRule="auto" w:line="259" w:before="0" w:after="0"/>
        <w:ind w:left="784" w:right="0" w:hanging="0"/>
        <w:jc w:val="center"/>
        <w:rPr/>
      </w:pPr>
      <w:r>
        <w:rPr/>
      </w:r>
    </w:p>
    <w:p>
      <w:pPr>
        <w:pStyle w:val="Normal"/>
        <w:spacing w:lineRule="auto" w:line="259" w:before="0" w:after="0"/>
        <w:ind w:left="784" w:right="0" w:hanging="0"/>
        <w:jc w:val="center"/>
        <w:rPr/>
      </w:pPr>
      <w:r>
        <w:rPr/>
      </w:r>
    </w:p>
    <w:p>
      <w:pPr>
        <w:pStyle w:val="Normal"/>
        <w:spacing w:lineRule="auto" w:line="259" w:before="0" w:after="0"/>
        <w:ind w:left="0" w:right="0" w:hanging="0"/>
        <w:jc w:val="left"/>
        <w:rPr/>
      </w:pPr>
      <w:r>
        <w:rPr/>
      </w:r>
    </w:p>
    <w:p>
      <w:pPr>
        <w:pStyle w:val="Normal"/>
        <w:spacing w:lineRule="auto" w:line="259" w:before="0" w:after="0"/>
        <w:ind w:left="0" w:right="0" w:hanging="0"/>
        <w:jc w:val="left"/>
        <w:rPr/>
      </w:pPr>
      <w:r>
        <w:rPr/>
      </w:r>
    </w:p>
    <w:p>
      <w:pPr>
        <w:pStyle w:val="Normal"/>
        <w:spacing w:lineRule="auto" w:line="259" w:before="0" w:after="8453"/>
        <w:ind w:left="0" w:right="0" w:hanging="0"/>
        <w:jc w:val="left"/>
        <w:rPr/>
      </w:pPr>
      <w:r>
        <w:rPr/>
      </w:r>
    </w:p>
    <w:p>
      <w:pPr>
        <w:pStyle w:val="Normal"/>
        <w:spacing w:lineRule="auto" w:line="259" w:before="0" w:after="0"/>
        <w:ind w:left="0" w:right="0" w:hanging="0"/>
        <w:jc w:val="left"/>
        <w:rPr/>
      </w:pPr>
      <w:r>
        <w:rPr/>
        <w:t xml:space="preserve">1. WSTĘP </w:t>
      </w:r>
    </w:p>
    <w:p>
      <w:pPr>
        <w:pStyle w:val="Nagwek2"/>
        <w:spacing w:before="0" w:after="127"/>
        <w:ind w:left="257" w:right="470" w:hanging="10"/>
        <w:rPr/>
      </w:pPr>
      <w:r>
        <w:rPr/>
        <w:t xml:space="preserve">1.1. Przedmiot SST </w:t>
      </w:r>
    </w:p>
    <w:p>
      <w:pPr>
        <w:pStyle w:val="Normal"/>
        <w:spacing w:before="0" w:after="92"/>
        <w:ind w:left="266" w:right="461" w:hanging="10"/>
        <w:rPr/>
      </w:pPr>
      <w:r>
        <w:rPr/>
        <w:t>Przedmiotem niniejszej Szczegółowej Specyfikacji Technicznej są wymagania dotyczące wykonania  i odbioru robót związanych z wykonaniem warstwy wiążącej z betonu asfaltowego AC 16W 50/70grubości 4 cm o wymiarze największego kruszywa 16 mm dla projektu pn:</w:t>
      </w:r>
    </w:p>
    <w:p>
      <w:pPr>
        <w:pStyle w:val="Normal"/>
        <w:tabs>
          <w:tab w:val="left" w:pos="0" w:leader="none"/>
        </w:tabs>
        <w:overflowPunct w:val="true"/>
        <w:rPr>
          <w:b/>
          <w:b/>
          <w:szCs w:val="20"/>
        </w:rPr>
      </w:pPr>
      <w:r>
        <w:rPr>
          <w:b/>
          <w:szCs w:val="20"/>
        </w:rPr>
        <w:t xml:space="preserve">Rozbudowa drogi gminnej w miejscowości Brzeźnio – Pustelnik </w:t>
      </w:r>
      <w:r>
        <w:rPr>
          <w:b/>
          <w:szCs w:val="20"/>
        </w:rPr>
        <w:t>gmina Brzeźnio</w:t>
      </w:r>
      <w:r>
        <w:rPr>
          <w:b/>
          <w:szCs w:val="20"/>
        </w:rPr>
        <w:t>.</w:t>
      </w:r>
    </w:p>
    <w:p>
      <w:pPr>
        <w:pStyle w:val="Normal"/>
        <w:tabs>
          <w:tab w:val="left" w:pos="0" w:leader="none"/>
        </w:tabs>
        <w:overflowPunct w:val="true"/>
        <w:rPr>
          <w:b/>
          <w:b/>
          <w:szCs w:val="20"/>
        </w:rPr>
      </w:pPr>
      <w:r>
        <w:rPr>
          <w:b/>
          <w:szCs w:val="20"/>
        </w:rPr>
      </w:r>
    </w:p>
    <w:p>
      <w:pPr>
        <w:pStyle w:val="Normal"/>
        <w:spacing w:before="0" w:after="92"/>
        <w:ind w:left="266" w:right="461" w:hanging="10"/>
        <w:rPr>
          <w:b/>
          <w:b/>
        </w:rPr>
      </w:pPr>
      <w:r>
        <w:rPr>
          <w:b/>
        </w:rPr>
        <w:t>Obowiązuje norma PN-EN 1340 oraz WT-1 i WT-2.</w:t>
      </w:r>
    </w:p>
    <w:p>
      <w:pPr>
        <w:pStyle w:val="Normal"/>
        <w:spacing w:before="0" w:after="92"/>
        <w:ind w:left="266" w:right="461" w:hanging="10"/>
        <w:rPr/>
      </w:pPr>
      <w:r>
        <w:rPr/>
      </w:r>
    </w:p>
    <w:p>
      <w:pPr>
        <w:pStyle w:val="Nagwek2"/>
        <w:spacing w:before="0" w:after="110"/>
        <w:ind w:left="257" w:right="470" w:hanging="10"/>
        <w:rPr/>
      </w:pPr>
      <w:r>
        <w:rPr/>
        <w:t xml:space="preserve">1.2. Zakres stosowania SST </w:t>
      </w:r>
    </w:p>
    <w:p>
      <w:pPr>
        <w:pStyle w:val="Normal"/>
        <w:spacing w:before="0" w:after="113"/>
        <w:ind w:left="266" w:right="461" w:hanging="10"/>
        <w:rPr/>
      </w:pPr>
      <w:r>
        <w:rPr/>
        <w:t xml:space="preserve">Szczegółowa Specyfikacja Techniczna jest stosowana jako dokument przetargowy i kontraktowy przy zlecaniu i realizacji robót wymienionych w punkcie 1.1. </w:t>
      </w:r>
    </w:p>
    <w:p>
      <w:pPr>
        <w:pStyle w:val="Nagwek2"/>
        <w:spacing w:before="0" w:after="139"/>
        <w:ind w:left="257" w:right="470" w:hanging="10"/>
        <w:rPr/>
      </w:pPr>
      <w:r>
        <w:rPr/>
        <w:t xml:space="preserve">1.3. Zakres robót objętych SST </w:t>
      </w:r>
    </w:p>
    <w:p>
      <w:pPr>
        <w:pStyle w:val="Normal"/>
        <w:ind w:left="266" w:right="461" w:hanging="10"/>
        <w:rPr/>
      </w:pPr>
      <w:r>
        <w:rPr/>
        <w:t xml:space="preserve">Roboty, których dotyczy niniejsza Specyfikacja obejmują wszystkie czynności umożliwiające i mające na celu wykonanie oraz odbiór n/w robót: </w:t>
      </w:r>
    </w:p>
    <w:p>
      <w:pPr>
        <w:pStyle w:val="Normal"/>
        <w:ind w:left="266" w:right="461" w:hanging="10"/>
        <w:rPr/>
      </w:pPr>
      <w:r>
        <w:rPr/>
        <w:t xml:space="preserve">- wykonanie warstwy wiążącej dla KR4 z betonu asfaltowego AC 16W </w:t>
      </w:r>
    </w:p>
    <w:p>
      <w:pPr>
        <w:pStyle w:val="Nagwek2"/>
        <w:tabs>
          <w:tab w:val="center" w:pos="427" w:leader="none"/>
          <w:tab w:val="center" w:pos="1967" w:leader="none"/>
        </w:tabs>
        <w:spacing w:before="0" w:after="53"/>
        <w:ind w:left="0" w:right="470" w:hanging="0"/>
        <w:rPr/>
      </w:pPr>
      <w:r>
        <w:rPr>
          <w:rFonts w:eastAsia="Calibri" w:cs="Calibri" w:ascii="Calibri" w:hAnsi="Calibri"/>
          <w:b w:val="false"/>
          <w:sz w:val="22"/>
        </w:rPr>
        <w:tab/>
      </w:r>
      <w:r>
        <w:rPr/>
        <w:t xml:space="preserve">1.4. </w:t>
        <w:tab/>
        <w:t xml:space="preserve">Określenia podstawowe </w:t>
      </w:r>
    </w:p>
    <w:p>
      <w:pPr>
        <w:pStyle w:val="Normal"/>
        <w:spacing w:before="0" w:after="36"/>
        <w:ind w:left="976" w:right="461" w:hanging="720"/>
        <w:rPr/>
      </w:pPr>
      <w:r>
        <w:rPr>
          <w:b/>
        </w:rPr>
        <w:t xml:space="preserve">1.4.1. </w:t>
      </w:r>
      <w:r>
        <w:rPr>
          <w:u w:val="single" w:color="000000"/>
        </w:rPr>
        <w:t xml:space="preserve">Nawierzchnia </w:t>
      </w:r>
      <w:r>
        <w:rPr/>
        <w:t xml:space="preserve">– konstrukcja składająca się z jednej lub kilku warstw służących do przejmowania i rozkładania obciążeń od ruchu pojazdów na podłoże. </w:t>
      </w:r>
    </w:p>
    <w:p>
      <w:pPr>
        <w:pStyle w:val="Normal"/>
        <w:ind w:left="266" w:right="461" w:hanging="10"/>
        <w:rPr/>
      </w:pPr>
      <w:r>
        <w:rPr>
          <w:b/>
        </w:rPr>
        <w:t xml:space="preserve">1.4.2. </w:t>
      </w:r>
      <w:r>
        <w:rPr>
          <w:u w:val="single" w:color="000000"/>
        </w:rPr>
        <w:t>Warstwa wiążąca</w:t>
      </w:r>
      <w:r>
        <w:rPr/>
        <w:t xml:space="preserve"> – warstwa nawierzchni między warstwą ścieralną a podbudową. </w:t>
      </w:r>
    </w:p>
    <w:p>
      <w:pPr>
        <w:pStyle w:val="Normal"/>
        <w:spacing w:before="0" w:after="26"/>
        <w:ind w:left="266" w:right="461" w:hanging="10"/>
        <w:rPr/>
      </w:pPr>
      <w:r>
        <w:rPr>
          <w:b/>
        </w:rPr>
        <w:t xml:space="preserve">1.4.3. </w:t>
      </w:r>
      <w:r>
        <w:rPr>
          <w:u w:val="single" w:color="000000"/>
        </w:rPr>
        <w:t>Mieszanka mineralno-asfaltowa</w:t>
      </w:r>
      <w:r>
        <w:rPr/>
        <w:t xml:space="preserve"> – mieszanka kruszyw i lepiszcza asfaltowego. </w:t>
      </w:r>
    </w:p>
    <w:p>
      <w:pPr>
        <w:pStyle w:val="Normal"/>
        <w:ind w:left="976" w:right="461" w:hanging="720"/>
        <w:rPr/>
      </w:pPr>
      <w:r>
        <w:rPr>
          <w:b/>
        </w:rPr>
        <w:t xml:space="preserve">1.4.4. </w:t>
      </w:r>
      <w:r>
        <w:rPr>
          <w:u w:val="single" w:color="000000"/>
        </w:rPr>
        <w:t>Wymiar mieszanki mineralno-asfaltowej</w:t>
      </w:r>
      <w:r>
        <w:rPr/>
        <w:t xml:space="preserve"> – określenie mieszanki mineralno-asfaltowej, wyróżniające tę mieszankę ze zbioru mieszanek tego samego typu ze względu na największy wymiar kruszywa, np. wymiar 8 lub 11. </w:t>
      </w:r>
    </w:p>
    <w:p>
      <w:pPr>
        <w:pStyle w:val="Normal"/>
        <w:spacing w:before="0" w:after="39"/>
        <w:ind w:left="976" w:right="461" w:hanging="720"/>
        <w:rPr/>
      </w:pPr>
      <w:r>
        <w:rPr>
          <w:b/>
        </w:rPr>
        <w:t xml:space="preserve">1.4.5. </w:t>
      </w:r>
      <w:r>
        <w:rPr>
          <w:u w:val="single" w:color="000000"/>
        </w:rPr>
        <w:t>Beton asfaltowy</w:t>
      </w:r>
      <w:r>
        <w:rPr/>
        <w:t xml:space="preserve"> – mieszanka mineralno-asfaltowa, w której kruszywo o uziarnieniu ciągłym lub nieciągłym tworzy strukturę wzajemnie klinującą się. </w:t>
      </w:r>
    </w:p>
    <w:p>
      <w:pPr>
        <w:pStyle w:val="Normal"/>
        <w:spacing w:before="0" w:after="36"/>
        <w:ind w:left="976" w:right="461" w:hanging="720"/>
        <w:rPr/>
      </w:pPr>
      <w:r>
        <w:rPr>
          <w:b/>
        </w:rPr>
        <w:t xml:space="preserve">1.4.6. </w:t>
      </w:r>
      <w:r>
        <w:rPr>
          <w:u w:val="single" w:color="000000"/>
        </w:rPr>
        <w:t>Uziarnienie</w:t>
      </w:r>
      <w:r>
        <w:rPr/>
        <w:t xml:space="preserve"> – skład ziarnowy kruszywa, wyrażony w procentach masy ziaren przechodzących przez określony zestaw sit. </w:t>
      </w:r>
    </w:p>
    <w:p>
      <w:pPr>
        <w:pStyle w:val="Normal"/>
        <w:spacing w:before="0" w:after="29"/>
        <w:ind w:left="976" w:right="461" w:hanging="720"/>
        <w:rPr/>
      </w:pPr>
      <w:r>
        <w:rPr>
          <w:b/>
        </w:rPr>
        <w:t xml:space="preserve">1.4.7. </w:t>
      </w:r>
      <w:r>
        <w:rPr>
          <w:u w:val="single" w:color="000000"/>
        </w:rPr>
        <w:t>Kategoria ruchu</w:t>
      </w:r>
      <w:r>
        <w:rPr/>
        <w:t xml:space="preserve"> – obciążenie drogi ruchem samochodowym, wyrażone w osiach obliczeniowych (100 kN) wg „Katalogu typowych konstrukcji nawierzchni podatnych i półsztywnych” GDDPIBDiM. </w:t>
      </w:r>
    </w:p>
    <w:p>
      <w:pPr>
        <w:pStyle w:val="Normal"/>
        <w:ind w:left="266" w:right="461" w:hanging="10"/>
        <w:rPr/>
      </w:pPr>
      <w:r>
        <w:rPr>
          <w:b/>
        </w:rPr>
        <w:t xml:space="preserve">1.4.8. </w:t>
      </w:r>
      <w:r>
        <w:rPr>
          <w:u w:val="single" w:color="000000"/>
        </w:rPr>
        <w:t>Wymiar kruszywa</w:t>
      </w:r>
      <w:r>
        <w:rPr/>
        <w:t xml:space="preserve"> – wielkość ziaren kruszywa, określona przez dolny (d) i górny (D) wymiar sita. </w:t>
      </w:r>
    </w:p>
    <w:p>
      <w:pPr>
        <w:pStyle w:val="Normal"/>
        <w:spacing w:before="0" w:after="30"/>
        <w:ind w:left="266" w:right="461" w:hanging="10"/>
        <w:rPr/>
      </w:pPr>
      <w:r>
        <w:rPr>
          <w:b/>
        </w:rPr>
        <w:t xml:space="preserve">1.4.9. </w:t>
      </w:r>
      <w:r>
        <w:rPr>
          <w:u w:val="single" w:color="000000"/>
        </w:rPr>
        <w:t>Kruszywo grube</w:t>
      </w:r>
      <w:r>
        <w:rPr/>
        <w:t xml:space="preserve"> – kruszywo z ziaren o wymiarze: D ≤ 45 mm oraz d </w:t>
      </w:r>
      <w:r>
        <w:rPr>
          <w:b/>
        </w:rPr>
        <w:t>≥</w:t>
      </w:r>
      <w:r>
        <w:rPr/>
        <w:t xml:space="preserve"> 2 mm. </w:t>
      </w:r>
    </w:p>
    <w:p>
      <w:pPr>
        <w:pStyle w:val="Normal"/>
        <w:spacing w:before="0" w:after="33"/>
        <w:ind w:left="976" w:right="461" w:hanging="720"/>
        <w:rPr/>
      </w:pPr>
      <w:r>
        <w:rPr>
          <w:b/>
        </w:rPr>
        <w:t xml:space="preserve">1.4.10. </w:t>
      </w:r>
      <w:r>
        <w:rPr>
          <w:u w:val="single" w:color="000000"/>
        </w:rPr>
        <w:t>Kruszywo drobne</w:t>
      </w:r>
      <w:r>
        <w:rPr/>
        <w:t xml:space="preserve"> – kruszywo z ziaren o wymiarze: D ≤ 2 mm, którego większa część pozostaje na sicie 0,063 mm. </w:t>
      </w:r>
    </w:p>
    <w:p>
      <w:pPr>
        <w:pStyle w:val="Normal"/>
        <w:spacing w:before="0" w:after="41"/>
        <w:ind w:left="266" w:right="461" w:hanging="10"/>
        <w:rPr/>
      </w:pPr>
      <w:r>
        <w:rPr>
          <w:b/>
        </w:rPr>
        <w:t xml:space="preserve">1.4.11. </w:t>
      </w:r>
      <w:r>
        <w:rPr>
          <w:u w:val="single" w:color="000000"/>
        </w:rPr>
        <w:t>Pył</w:t>
      </w:r>
      <w:r>
        <w:rPr/>
        <w:t xml:space="preserve"> – kruszywo z ziaren przechodzących przez sito 0,063 mm. </w:t>
      </w:r>
    </w:p>
    <w:p>
      <w:pPr>
        <w:pStyle w:val="Normal"/>
        <w:ind w:left="976" w:right="461" w:hanging="720"/>
        <w:rPr/>
      </w:pPr>
      <w:r>
        <w:rPr>
          <w:b/>
        </w:rPr>
        <w:t xml:space="preserve">1.4.12. </w:t>
      </w:r>
      <w:r>
        <w:rPr>
          <w:u w:val="single" w:color="000000"/>
        </w:rPr>
        <w:t xml:space="preserve">Wypełniacz </w:t>
      </w:r>
      <w:r>
        <w:rPr/>
        <w:t xml:space="preserve">– kruszywo, którego większa część przechodzi przez sito 0,063 mm. (Wypełniacz mieszany – kruszywo, które składa się z wypełniacza pochodzenia mineralnego i wodorotlenku wapnia. Wypełniacz dodany – wypełniacz pochodzenia mineralnego, wyprodukowany oddzielnie). </w:t>
      </w:r>
    </w:p>
    <w:p>
      <w:pPr>
        <w:pStyle w:val="Normal"/>
        <w:ind w:left="976" w:right="461" w:hanging="720"/>
        <w:rPr/>
      </w:pPr>
      <w:r>
        <w:rPr>
          <w:b/>
        </w:rPr>
        <w:t xml:space="preserve">1.4.13. </w:t>
      </w:r>
      <w:r>
        <w:rPr>
          <w:u w:val="single" w:color="000000"/>
        </w:rPr>
        <w:t>Kationowa emulsja asfaltowa</w:t>
      </w:r>
      <w:r>
        <w:rPr/>
        <w:t xml:space="preserve"> – emulsja, w której emulgator nadaje dodatnie ładunki cząstkom zdyspergowanego asfaltu. </w:t>
      </w:r>
    </w:p>
    <w:p>
      <w:pPr>
        <w:pStyle w:val="Normal"/>
        <w:ind w:left="976" w:right="461" w:hanging="720"/>
        <w:rPr/>
      </w:pPr>
      <w:r>
        <w:rPr>
          <w:b/>
        </w:rPr>
        <w:t xml:space="preserve">1.4.14.  </w:t>
      </w:r>
      <w:r>
        <w:rPr/>
        <w:t xml:space="preserve">Granulat asfaltowy – jest to przetworzony destrukt asfaltowy o udokumentowanej jakości jako materiał składowy w produkcji mieszanek mineralno-asfaltowych w technologii na gorąco. </w:t>
      </w:r>
    </w:p>
    <w:p>
      <w:pPr>
        <w:pStyle w:val="Normal"/>
        <w:spacing w:before="0" w:after="26"/>
        <w:ind w:left="976" w:right="461" w:hanging="720"/>
        <w:rPr/>
      </w:pPr>
      <w:r>
        <w:rPr>
          <w:b/>
        </w:rPr>
        <w:t xml:space="preserve">1.4.15. </w:t>
      </w:r>
      <w:r>
        <w:rPr/>
        <w:t xml:space="preserve">Pozostałe określenia podstawowe są zgodne z odpowiednimi polskimi normami i z definicjami podanymi w SST D-M.00.00.00 „Wymagania ogólne” pkt 1.4. </w:t>
      </w:r>
    </w:p>
    <w:p>
      <w:pPr>
        <w:pStyle w:val="Normal"/>
        <w:ind w:left="266" w:right="461" w:hanging="10"/>
        <w:rPr/>
      </w:pPr>
      <w:r>
        <w:rPr>
          <w:b/>
        </w:rPr>
        <w:t xml:space="preserve">1.4.16. </w:t>
      </w:r>
      <w:r>
        <w:rPr/>
        <w:t xml:space="preserve">Symbole i skróty dodatkowe </w:t>
      </w:r>
    </w:p>
    <w:p>
      <w:pPr>
        <w:pStyle w:val="Normal"/>
        <w:spacing w:lineRule="auto" w:line="259" w:before="0" w:after="47"/>
        <w:ind w:left="262" w:right="0" w:hanging="0"/>
        <w:jc w:val="left"/>
        <w:rPr/>
      </w:pPr>
      <w:r>
        <w:rPr/>
      </w:r>
    </w:p>
    <w:p>
      <w:pPr>
        <w:pStyle w:val="Normal"/>
        <w:tabs>
          <w:tab w:val="center" w:pos="520" w:leader="none"/>
          <w:tab w:val="center" w:pos="3202" w:leader="none"/>
        </w:tabs>
        <w:ind w:left="0" w:right="0" w:hanging="0"/>
        <w:jc w:val="left"/>
        <w:rPr/>
      </w:pPr>
      <w:r>
        <w:rPr>
          <w:rFonts w:eastAsia="Calibri" w:cs="Calibri" w:ascii="Calibri" w:hAnsi="Calibri"/>
          <w:sz w:val="22"/>
        </w:rPr>
        <w:tab/>
      </w:r>
      <w:r>
        <w:rPr/>
        <w:t xml:space="preserve">AC W </w:t>
        <w:tab/>
      </w:r>
      <w:r>
        <w:rPr>
          <w:rFonts w:eastAsia="Times New Roman" w:cs="Times New Roman" w:ascii="Times New Roman" w:hAnsi="Times New Roman"/>
          <w:sz w:val="16"/>
        </w:rPr>
        <w:t>–</w:t>
      </w:r>
      <w:r>
        <w:rPr/>
        <w:t xml:space="preserve">beton asfaltowy do warstwy wiążącej </w:t>
      </w:r>
    </w:p>
    <w:p>
      <w:pPr>
        <w:pStyle w:val="Normal"/>
        <w:tabs>
          <w:tab w:val="center" w:pos="479" w:leader="none"/>
          <w:tab w:val="center" w:pos="2221" w:leader="none"/>
        </w:tabs>
        <w:ind w:left="0" w:right="0" w:hanging="0"/>
        <w:jc w:val="left"/>
        <w:rPr/>
      </w:pPr>
      <w:r>
        <w:rPr>
          <w:rFonts w:eastAsia="Calibri" w:cs="Calibri" w:ascii="Calibri" w:hAnsi="Calibri"/>
          <w:sz w:val="22"/>
        </w:rPr>
        <w:tab/>
      </w:r>
      <w:r>
        <w:rPr/>
        <w:t xml:space="preserve">PmB </w:t>
        <w:tab/>
      </w:r>
      <w:r>
        <w:rPr>
          <w:rFonts w:eastAsia="Times New Roman" w:cs="Times New Roman" w:ascii="Times New Roman" w:hAnsi="Times New Roman"/>
          <w:sz w:val="25"/>
          <w:vertAlign w:val="subscript"/>
        </w:rPr>
        <w:t>–</w:t>
      </w:r>
      <w:r>
        <w:rPr/>
        <w:t xml:space="preserve">polimeroasfalt, </w:t>
      </w:r>
    </w:p>
    <w:p>
      <w:pPr>
        <w:pStyle w:val="Normal"/>
        <w:tabs>
          <w:tab w:val="center" w:pos="334" w:leader="none"/>
          <w:tab w:val="center" w:pos="4312" w:leader="none"/>
        </w:tabs>
        <w:spacing w:before="0" w:after="49"/>
        <w:ind w:left="0" w:right="0" w:hanging="0"/>
        <w:jc w:val="left"/>
        <w:rPr/>
      </w:pPr>
      <w:r>
        <w:rPr>
          <w:rFonts w:eastAsia="Calibri" w:cs="Calibri" w:ascii="Calibri" w:hAnsi="Calibri"/>
          <w:sz w:val="22"/>
        </w:rPr>
        <w:tab/>
      </w:r>
      <w:r>
        <w:rPr/>
        <w:t xml:space="preserve">D </w:t>
        <w:tab/>
      </w:r>
      <w:r>
        <w:rPr>
          <w:rFonts w:eastAsia="Times New Roman" w:cs="Times New Roman" w:ascii="Times New Roman" w:hAnsi="Times New Roman"/>
          <w:sz w:val="16"/>
        </w:rPr>
        <w:t>–</w:t>
      </w:r>
      <w:r>
        <w:rPr/>
        <w:t xml:space="preserve">górny wymiar sita (przy określaniu wielkości ziaren kruszywa), </w:t>
      </w:r>
    </w:p>
    <w:p>
      <w:pPr>
        <w:pStyle w:val="Normal"/>
        <w:ind w:left="266" w:right="2739" w:hanging="10"/>
        <w:rPr/>
      </w:pPr>
      <w:r>
        <w:rPr/>
        <w:t xml:space="preserve">d </w:t>
      </w:r>
      <w:r>
        <w:rPr>
          <w:rFonts w:eastAsia="Times New Roman" w:cs="Times New Roman" w:ascii="Times New Roman" w:hAnsi="Times New Roman"/>
          <w:sz w:val="16"/>
        </w:rPr>
        <w:t>–</w:t>
      </w:r>
      <w:r>
        <w:rPr/>
        <w:t xml:space="preserve">dolny wymiar sita (przy określaniu wielkości ziaren kruszywa), C </w:t>
      </w:r>
      <w:r>
        <w:rPr>
          <w:rFonts w:eastAsia="Times New Roman" w:cs="Times New Roman" w:ascii="Times New Roman" w:hAnsi="Times New Roman"/>
          <w:sz w:val="25"/>
          <w:vertAlign w:val="subscript"/>
        </w:rPr>
        <w:t>–</w:t>
      </w:r>
      <w:r>
        <w:rPr/>
        <w:t xml:space="preserve">kationowa emulsja asfaltowa, </w:t>
      </w:r>
    </w:p>
    <w:p>
      <w:pPr>
        <w:pStyle w:val="Normal"/>
        <w:tabs>
          <w:tab w:val="center" w:pos="472" w:leader="none"/>
          <w:tab w:val="center" w:pos="5535" w:leader="none"/>
        </w:tabs>
        <w:spacing w:before="0" w:after="48"/>
        <w:ind w:left="0" w:right="0" w:hanging="0"/>
        <w:jc w:val="left"/>
        <w:rPr/>
      </w:pPr>
      <w:r>
        <w:rPr>
          <w:rFonts w:eastAsia="Calibri" w:cs="Calibri" w:ascii="Calibri" w:hAnsi="Calibri"/>
          <w:sz w:val="22"/>
        </w:rPr>
        <w:tab/>
      </w:r>
      <w:r>
        <w:rPr/>
        <w:t xml:space="preserve">NPD </w:t>
        <w:tab/>
      </w:r>
      <w:r>
        <w:rPr>
          <w:rFonts w:eastAsia="Times New Roman" w:cs="Times New Roman" w:ascii="Times New Roman" w:hAnsi="Times New Roman"/>
          <w:sz w:val="16"/>
        </w:rPr>
        <w:t>–</w:t>
      </w:r>
      <w:r>
        <w:rPr/>
        <w:t xml:space="preserve">właściwość użytkowa nie określana (ang. No Performance Determined; producent może </w:t>
      </w:r>
    </w:p>
    <w:p>
      <w:pPr>
        <w:pStyle w:val="Normal"/>
        <w:ind w:left="1690" w:right="461" w:hanging="10"/>
        <w:rPr/>
      </w:pPr>
      <w:r>
        <w:rPr/>
        <w:t xml:space="preserve">jej nie określać), </w:t>
      </w:r>
    </w:p>
    <w:p>
      <w:pPr>
        <w:pStyle w:val="Normal"/>
        <w:spacing w:before="0" w:after="36"/>
        <w:ind w:left="1674" w:right="461" w:hanging="1418"/>
        <w:rPr/>
      </w:pPr>
      <w:r>
        <w:rPr/>
        <w:t xml:space="preserve">TBR </w:t>
      </w:r>
      <w:r>
        <w:rPr>
          <w:rFonts w:eastAsia="Times New Roman" w:cs="Times New Roman" w:ascii="Times New Roman" w:hAnsi="Times New Roman"/>
          <w:sz w:val="16"/>
        </w:rPr>
        <w:t>–</w:t>
      </w:r>
      <w:r>
        <w:rPr/>
        <w:t xml:space="preserve">do zadeklarowania (ang. To Be Reported; producent może dostarczyć odpowiednie informacje, jednak nie jest do tego zobowiązany), </w:t>
      </w:r>
    </w:p>
    <w:p>
      <w:pPr>
        <w:pStyle w:val="Normal"/>
        <w:tabs>
          <w:tab w:val="center" w:pos="389" w:leader="none"/>
          <w:tab w:val="center" w:pos="4652" w:leader="none"/>
        </w:tabs>
        <w:ind w:left="0" w:right="0" w:hanging="0"/>
        <w:jc w:val="left"/>
        <w:rPr/>
      </w:pPr>
      <w:r>
        <w:rPr>
          <w:rFonts w:eastAsia="Calibri" w:cs="Calibri" w:ascii="Calibri" w:hAnsi="Calibri"/>
          <w:sz w:val="22"/>
        </w:rPr>
        <w:tab/>
      </w:r>
      <w:r>
        <w:rPr/>
        <w:t xml:space="preserve">IRI </w:t>
        <w:tab/>
      </w:r>
      <w:r>
        <w:rPr>
          <w:rFonts w:eastAsia="Times New Roman" w:cs="Times New Roman" w:ascii="Times New Roman" w:hAnsi="Times New Roman"/>
          <w:sz w:val="16"/>
        </w:rPr>
        <w:t>–</w:t>
      </w:r>
      <w:r>
        <w:rPr/>
        <w:t xml:space="preserve">(International Roughness Index) międzynarodowy wskaźnik równości, </w:t>
      </w:r>
    </w:p>
    <w:p>
      <w:pPr>
        <w:pStyle w:val="Normal"/>
        <w:spacing w:lineRule="auto" w:line="259" w:before="0" w:after="48"/>
        <w:ind w:left="262" w:right="0" w:hanging="0"/>
        <w:jc w:val="left"/>
        <w:rPr/>
      </w:pPr>
      <w:r>
        <w:rPr/>
      </w:r>
    </w:p>
    <w:p>
      <w:pPr>
        <w:pStyle w:val="Normal"/>
        <w:tabs>
          <w:tab w:val="center" w:pos="427" w:leader="none"/>
          <w:tab w:val="center" w:pos="2531" w:leader="none"/>
        </w:tabs>
        <w:spacing w:lineRule="auto" w:line="259" w:before="0" w:after="57"/>
        <w:ind w:left="0" w:right="0" w:hanging="0"/>
        <w:jc w:val="left"/>
        <w:rPr/>
      </w:pPr>
      <w:r>
        <w:rPr>
          <w:rFonts w:eastAsia="Calibri" w:cs="Calibri" w:ascii="Calibri" w:hAnsi="Calibri"/>
          <w:sz w:val="22"/>
        </w:rPr>
        <w:tab/>
      </w:r>
      <w:r>
        <w:rPr>
          <w:b/>
        </w:rPr>
        <w:t xml:space="preserve">1.5. </w:t>
        <w:tab/>
        <w:t xml:space="preserve">Ogólne wymagania dotyczące robót </w:t>
      </w:r>
    </w:p>
    <w:p>
      <w:pPr>
        <w:pStyle w:val="Normal"/>
        <w:ind w:left="838" w:right="461" w:hanging="10"/>
        <w:rPr/>
      </w:pPr>
      <w:r>
        <w:rPr/>
        <w:t xml:space="preserve">Ogólne wymagania dotyczące robót podano w SST D-M.00.00.00 "Wymagania ogólne" pkt 1.5. </w:t>
      </w:r>
    </w:p>
    <w:p>
      <w:pPr>
        <w:pStyle w:val="Normal"/>
        <w:spacing w:lineRule="auto" w:line="259" w:before="0" w:after="24"/>
        <w:ind w:left="262" w:right="0" w:hanging="0"/>
        <w:jc w:val="left"/>
        <w:rPr/>
      </w:pPr>
      <w:r>
        <w:rPr/>
      </w:r>
    </w:p>
    <w:p>
      <w:pPr>
        <w:pStyle w:val="Nagwek1"/>
        <w:tabs>
          <w:tab w:val="center" w:pos="344" w:leader="none"/>
          <w:tab w:val="center" w:pos="2121" w:leader="none"/>
        </w:tabs>
        <w:ind w:left="0" w:right="470" w:hanging="0"/>
        <w:rPr/>
      </w:pPr>
      <w:r>
        <w:rPr>
          <w:rFonts w:eastAsia="Calibri" w:cs="Calibri" w:ascii="Calibri" w:hAnsi="Calibri"/>
          <w:b w:val="false"/>
          <w:sz w:val="22"/>
        </w:rPr>
        <w:tab/>
      </w:r>
      <w:r>
        <w:rPr/>
        <w:t xml:space="preserve">2. </w:t>
        <w:tab/>
        <w:t xml:space="preserve">Wyroby budowlane i materiały </w:t>
      </w:r>
    </w:p>
    <w:p>
      <w:pPr>
        <w:pStyle w:val="Normal"/>
        <w:spacing w:lineRule="auto" w:line="259" w:before="0" w:after="47"/>
        <w:ind w:left="682" w:right="0" w:hanging="0"/>
        <w:jc w:val="left"/>
        <w:rPr/>
      </w:pPr>
      <w:r>
        <w:rPr/>
      </w:r>
    </w:p>
    <w:p>
      <w:pPr>
        <w:pStyle w:val="Nagwek2"/>
        <w:tabs>
          <w:tab w:val="center" w:pos="427" w:leader="none"/>
          <w:tab w:val="center" w:pos="1737" w:leader="none"/>
        </w:tabs>
        <w:spacing w:before="0" w:after="60"/>
        <w:ind w:left="0" w:right="470" w:hanging="0"/>
        <w:rPr/>
      </w:pPr>
      <w:r>
        <w:rPr>
          <w:rFonts w:eastAsia="Calibri" w:cs="Calibri" w:ascii="Calibri" w:hAnsi="Calibri"/>
          <w:b w:val="false"/>
          <w:sz w:val="22"/>
        </w:rPr>
        <w:tab/>
      </w:r>
      <w:r>
        <w:rPr/>
        <w:t xml:space="preserve">2.4. </w:t>
        <w:tab/>
        <w:t xml:space="preserve">Ogólne wymagania </w:t>
      </w:r>
    </w:p>
    <w:p>
      <w:pPr>
        <w:pStyle w:val="Normal"/>
        <w:spacing w:before="0" w:after="38"/>
        <w:ind w:left="256" w:right="461" w:firstLine="566"/>
        <w:rPr/>
      </w:pPr>
      <w:r>
        <w:rPr/>
        <w:t xml:space="preserve">Ogólne wymagania dotyczące wyrobów i materiałów, ich pozyskiwania i składowania, podano w SST D-M.00.00.00 „Wymagania ogólne” pkt. 2. </w:t>
      </w:r>
    </w:p>
    <w:p>
      <w:pPr>
        <w:pStyle w:val="Normal"/>
        <w:ind w:left="256" w:right="461" w:firstLine="566"/>
        <w:rPr/>
      </w:pPr>
      <w:r>
        <w:rPr/>
        <w:t xml:space="preserve">Obowiązkiem Wykonawcy jest wytypowanie producenta lub producentów mieszanek mineralno - asfaltowych, posiadających certyfikowany system Zakładowej Kontroli Produkcji zgodnie z PN-EN 1310821. </w:t>
      </w:r>
    </w:p>
    <w:p>
      <w:pPr>
        <w:pStyle w:val="Normal"/>
        <w:spacing w:lineRule="auto" w:line="259" w:before="0" w:after="47"/>
        <w:ind w:left="262" w:right="0" w:hanging="0"/>
        <w:jc w:val="left"/>
        <w:rPr/>
      </w:pPr>
      <w:r>
        <w:rPr/>
      </w:r>
    </w:p>
    <w:p>
      <w:pPr>
        <w:pStyle w:val="Nagwek2"/>
        <w:tabs>
          <w:tab w:val="center" w:pos="427" w:leader="none"/>
          <w:tab w:val="center" w:pos="3837" w:leader="none"/>
        </w:tabs>
        <w:ind w:left="0" w:right="470" w:hanging="0"/>
        <w:rPr/>
      </w:pPr>
      <w:r>
        <w:rPr>
          <w:rFonts w:eastAsia="Calibri" w:cs="Calibri" w:ascii="Calibri" w:hAnsi="Calibri"/>
          <w:b w:val="false"/>
          <w:sz w:val="22"/>
        </w:rPr>
        <w:tab/>
      </w:r>
      <w:r>
        <w:rPr/>
        <w:t xml:space="preserve">2.5. </w:t>
        <w:tab/>
        <w:t xml:space="preserve">Materiały stosowane do betonu asfaltowego (AC oraz AC WMS) </w:t>
      </w:r>
    </w:p>
    <w:p>
      <w:pPr>
        <w:pStyle w:val="Normal"/>
        <w:spacing w:before="0" w:after="36"/>
        <w:ind w:left="266" w:right="461" w:hanging="10"/>
        <w:rPr/>
      </w:pPr>
      <w:r>
        <w:rPr>
          <w:b/>
        </w:rPr>
        <w:t xml:space="preserve">2.5.1. </w:t>
      </w:r>
      <w:r>
        <w:rPr/>
        <w:t xml:space="preserve">Lepiszcza asfaltowe </w:t>
      </w:r>
    </w:p>
    <w:p>
      <w:pPr>
        <w:pStyle w:val="Normal"/>
        <w:ind w:left="256" w:right="461" w:firstLine="708"/>
        <w:rPr/>
      </w:pPr>
      <w:r>
        <w:rPr/>
        <w:t xml:space="preserve">Do produkcji mieszanek asfaltowych należy stosować asfalty drogowe wg PN-EN 12591 oraz polimeroasfalt wg 14023:2011/Ap1:2014-04. Rodzaje stosowanych asfaltów podano w tablicy 1. </w:t>
      </w:r>
    </w:p>
    <w:p>
      <w:pPr>
        <w:pStyle w:val="Normal"/>
        <w:spacing w:lineRule="auto" w:line="259" w:before="0" w:after="44"/>
        <w:ind w:left="970" w:right="0" w:hanging="0"/>
        <w:jc w:val="left"/>
        <w:rPr/>
      </w:pPr>
      <w:r>
        <w:rPr/>
      </w:r>
    </w:p>
    <w:p>
      <w:pPr>
        <w:pStyle w:val="Normal"/>
        <w:ind w:left="266" w:right="461" w:hanging="10"/>
        <w:rPr/>
      </w:pPr>
      <w:r>
        <w:rPr/>
        <w:t xml:space="preserve">Tablica 1. Lepiszcza asfaltowe do warstwy wiążącej i wyrównawczej z betonu asfaltowego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96" w:type="dxa"/>
          <w:bottom w:w="0" w:type="dxa"/>
          <w:right w:w="115" w:type="dxa"/>
        </w:tblCellMar>
        <w:tblLook w:val="04a0"/>
      </w:tblPr>
      <w:tblGrid>
        <w:gridCol w:w="2204"/>
        <w:gridCol w:w="2662"/>
        <w:gridCol w:w="4707"/>
      </w:tblGrid>
      <w:tr>
        <w:trPr>
          <w:trHeight w:val="716" w:hRule="atLeast"/>
        </w:trPr>
        <w:tc>
          <w:tcPr>
            <w:tcW w:w="22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571" w:hanging="0"/>
              <w:jc w:val="left"/>
              <w:rPr/>
            </w:pPr>
            <w:r>
              <w:rPr/>
              <w:t xml:space="preserve">Kategoria ruchu </w:t>
            </w:r>
          </w:p>
        </w:tc>
        <w:tc>
          <w:tcPr>
            <w:tcW w:w="26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Mieszanka ACS </w:t>
            </w:r>
          </w:p>
        </w:tc>
        <w:tc>
          <w:tcPr>
            <w:tcW w:w="470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Asfalt drogowy </w:t>
            </w:r>
          </w:p>
        </w:tc>
      </w:tr>
      <w:tr>
        <w:trPr>
          <w:trHeight w:val="274" w:hRule="atLeast"/>
        </w:trPr>
        <w:tc>
          <w:tcPr>
            <w:tcW w:w="22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KR1 </w:t>
            </w:r>
          </w:p>
        </w:tc>
        <w:tc>
          <w:tcPr>
            <w:tcW w:w="26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AC11 W </w:t>
            </w:r>
          </w:p>
        </w:tc>
        <w:tc>
          <w:tcPr>
            <w:tcW w:w="470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50/70 zgodnie z tablicą 2 </w:t>
            </w:r>
          </w:p>
        </w:tc>
      </w:tr>
      <w:tr>
        <w:trPr>
          <w:trHeight w:val="276" w:hRule="atLeast"/>
        </w:trPr>
        <w:tc>
          <w:tcPr>
            <w:tcW w:w="22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KR3 – KR4 </w:t>
            </w:r>
          </w:p>
        </w:tc>
        <w:tc>
          <w:tcPr>
            <w:tcW w:w="26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AC16 W </w:t>
            </w:r>
          </w:p>
        </w:tc>
        <w:tc>
          <w:tcPr>
            <w:tcW w:w="470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PMB 25/55-60</w:t>
            </w:r>
          </w:p>
        </w:tc>
      </w:tr>
      <w:tr>
        <w:trPr>
          <w:trHeight w:val="274" w:hRule="atLeast"/>
        </w:trPr>
        <w:tc>
          <w:tcPr>
            <w:tcW w:w="22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KR5 – KR6 </w:t>
            </w:r>
          </w:p>
        </w:tc>
        <w:tc>
          <w:tcPr>
            <w:tcW w:w="26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AC WMS 16 W </w:t>
            </w:r>
          </w:p>
        </w:tc>
        <w:tc>
          <w:tcPr>
            <w:tcW w:w="470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PMB 25/55-60 zgodnie z tablicą 3 </w:t>
            </w:r>
          </w:p>
        </w:tc>
      </w:tr>
    </w:tbl>
    <w:p>
      <w:pPr>
        <w:pStyle w:val="Normal"/>
        <w:spacing w:lineRule="auto" w:line="259" w:before="0" w:after="15"/>
        <w:ind w:left="262" w:right="0" w:hanging="0"/>
        <w:jc w:val="left"/>
        <w:rPr/>
      </w:pPr>
      <w:r>
        <w:rPr/>
      </w:r>
    </w:p>
    <w:p>
      <w:pPr>
        <w:pStyle w:val="Normal"/>
        <w:ind w:left="266" w:right="461" w:hanging="10"/>
        <w:rPr/>
      </w:pPr>
      <w:r>
        <w:rPr/>
        <w:t xml:space="preserve">Tablica 2. Wymagania wobec asfaltów drogowych wg PN-EN 12591  </w:t>
      </w:r>
    </w:p>
    <w:tbl>
      <w:tblPr>
        <w:tblStyle w:val="TableGrid"/>
        <w:tblW w:w="9573" w:type="dxa"/>
        <w:jc w:val="left"/>
        <w:tblInd w:w="149" w:type="dxa"/>
        <w:tblBorders>
          <w:top w:val="single" w:sz="4" w:space="0" w:color="000001"/>
          <w:left w:val="single" w:sz="4" w:space="0" w:color="000001"/>
          <w:bottom w:val="single" w:sz="4" w:space="0" w:color="000001"/>
          <w:right w:val="single" w:sz="8" w:space="0" w:color="000001"/>
          <w:insideH w:val="single" w:sz="4" w:space="0" w:color="000001"/>
          <w:insideV w:val="single" w:sz="8" w:space="0" w:color="000001"/>
        </w:tblBorders>
        <w:tblCellMar>
          <w:top w:w="12" w:type="dxa"/>
          <w:left w:w="91" w:type="dxa"/>
          <w:bottom w:w="0" w:type="dxa"/>
          <w:right w:w="60" w:type="dxa"/>
        </w:tblCellMar>
        <w:tblLook w:val="04a0"/>
      </w:tblPr>
      <w:tblGrid>
        <w:gridCol w:w="585"/>
        <w:gridCol w:w="4166"/>
        <w:gridCol w:w="772"/>
        <w:gridCol w:w="2163"/>
        <w:gridCol w:w="925"/>
        <w:gridCol w:w="961"/>
      </w:tblGrid>
      <w:tr>
        <w:trPr>
          <w:trHeight w:val="276" w:hRule="atLeast"/>
        </w:trPr>
        <w:tc>
          <w:tcPr>
            <w:tcW w:w="585" w:type="dxa"/>
            <w:vMerge w:val="restart"/>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vAlign w:val="center"/>
          </w:tcPr>
          <w:p>
            <w:pPr>
              <w:pStyle w:val="Normal"/>
              <w:spacing w:lineRule="auto" w:line="259" w:before="0" w:after="0"/>
              <w:ind w:left="7" w:right="0" w:hanging="0"/>
              <w:jc w:val="left"/>
              <w:rPr/>
            </w:pPr>
            <w:r>
              <w:rPr/>
              <w:t xml:space="preserve">Lp. </w:t>
            </w:r>
          </w:p>
        </w:tc>
        <w:tc>
          <w:tcPr>
            <w:tcW w:w="4166" w:type="dxa"/>
            <w:vMerge w:val="restart"/>
            <w:tcBorders>
              <w:top w:val="single" w:sz="4" w:space="0" w:color="000001"/>
              <w:left w:val="single" w:sz="8" w:space="0" w:color="000001"/>
              <w:bottom w:val="single" w:sz="4" w:space="0" w:color="000001"/>
              <w:right w:val="single" w:sz="8" w:space="0" w:color="000001"/>
              <w:insideH w:val="single" w:sz="4" w:space="0" w:color="000001"/>
              <w:insideV w:val="single" w:sz="8" w:space="0" w:color="000001"/>
            </w:tcBorders>
            <w:shd w:color="auto" w:fill="auto" w:val="clear"/>
            <w:tcMar>
              <w:left w:w="81" w:type="dxa"/>
            </w:tcMar>
            <w:vAlign w:val="center"/>
          </w:tcPr>
          <w:p>
            <w:pPr>
              <w:pStyle w:val="Normal"/>
              <w:spacing w:lineRule="auto" w:line="259" w:before="0" w:after="0"/>
              <w:ind w:left="12" w:right="0" w:hanging="0"/>
              <w:jc w:val="left"/>
              <w:rPr/>
            </w:pPr>
            <w:r>
              <w:rPr/>
              <w:t xml:space="preserve">Właściwości </w:t>
            </w:r>
          </w:p>
        </w:tc>
        <w:tc>
          <w:tcPr>
            <w:tcW w:w="772" w:type="dxa"/>
            <w:vMerge w:val="restart"/>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6" w:type="dxa"/>
            </w:tcMar>
          </w:tcPr>
          <w:p>
            <w:pPr>
              <w:pStyle w:val="Normal"/>
              <w:spacing w:lineRule="auto" w:line="259" w:before="0" w:after="0"/>
              <w:ind w:left="0" w:right="0" w:hanging="0"/>
              <w:jc w:val="left"/>
              <w:rPr/>
            </w:pPr>
            <w:r>
              <w:rPr/>
            </w:r>
          </w:p>
        </w:tc>
        <w:tc>
          <w:tcPr>
            <w:tcW w:w="2163"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563" w:hanging="0"/>
              <w:jc w:val="left"/>
              <w:rPr/>
            </w:pPr>
            <w:r>
              <w:rPr/>
              <w:t xml:space="preserve">Metoda badania </w:t>
            </w:r>
          </w:p>
        </w:tc>
        <w:tc>
          <w:tcPr>
            <w:tcW w:w="188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Rodzaj asfaltu </w:t>
            </w:r>
          </w:p>
        </w:tc>
      </w:tr>
      <w:tr>
        <w:trPr>
          <w:trHeight w:val="274" w:hRule="atLeast"/>
        </w:trPr>
        <w:tc>
          <w:tcPr>
            <w:tcW w:w="585" w:type="dxa"/>
            <w:vMerge w:val="continue"/>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0" w:right="0" w:hanging="0"/>
              <w:jc w:val="left"/>
              <w:rPr/>
            </w:pPr>
            <w:r>
              <w:rPr/>
            </w:r>
          </w:p>
        </w:tc>
        <w:tc>
          <w:tcPr>
            <w:tcW w:w="4166" w:type="dxa"/>
            <w:vMerge w:val="continue"/>
            <w:tcBorders>
              <w:top w:val="single" w:sz="4" w:space="0" w:color="000001"/>
              <w:left w:val="single" w:sz="8" w:space="0" w:color="000001"/>
              <w:bottom w:val="single" w:sz="4" w:space="0" w:color="000001"/>
              <w:right w:val="single" w:sz="8" w:space="0" w:color="000001"/>
              <w:insideH w:val="single" w:sz="4" w:space="0" w:color="000001"/>
              <w:insideV w:val="single" w:sz="8" w:space="0" w:color="000001"/>
            </w:tcBorders>
            <w:shd w:color="auto" w:fill="auto" w:val="clear"/>
            <w:tcMar>
              <w:left w:w="81" w:type="dxa"/>
            </w:tcMar>
          </w:tcPr>
          <w:p>
            <w:pPr>
              <w:pStyle w:val="Normal"/>
              <w:spacing w:lineRule="auto" w:line="259" w:before="0" w:after="0"/>
              <w:ind w:left="0" w:right="0" w:hanging="0"/>
              <w:jc w:val="left"/>
              <w:rPr/>
            </w:pPr>
            <w:r>
              <w:rPr/>
            </w:r>
          </w:p>
        </w:tc>
        <w:tc>
          <w:tcPr>
            <w:tcW w:w="772" w:type="dxa"/>
            <w:vMerge w:val="continue"/>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6" w:type="dxa"/>
            </w:tcMar>
          </w:tcPr>
          <w:p>
            <w:pPr>
              <w:pStyle w:val="Normal"/>
              <w:spacing w:lineRule="auto" w:line="259" w:before="0" w:after="0"/>
              <w:ind w:left="0" w:right="0" w:hanging="0"/>
              <w:jc w:val="left"/>
              <w:rPr/>
            </w:pPr>
            <w:r>
              <w:rPr/>
            </w:r>
          </w:p>
        </w:tc>
        <w:tc>
          <w:tcPr>
            <w:tcW w:w="216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0" w:right="0" w:hanging="0"/>
              <w:jc w:val="left"/>
              <w:rPr/>
            </w:pPr>
            <w:r>
              <w:rPr/>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35/50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50/70 </w:t>
            </w:r>
          </w:p>
        </w:tc>
      </w:tr>
      <w:tr>
        <w:trPr>
          <w:trHeight w:val="276"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1 </w:t>
            </w:r>
          </w:p>
        </w:tc>
        <w:tc>
          <w:tcPr>
            <w:tcW w:w="4166" w:type="dxa"/>
            <w:tcBorders>
              <w:top w:val="single" w:sz="4" w:space="0" w:color="000001"/>
              <w:left w:val="single" w:sz="8" w:space="0" w:color="000001"/>
              <w:bottom w:val="single" w:sz="4" w:space="0" w:color="000001"/>
              <w:right w:val="single" w:sz="8" w:space="0" w:color="000001"/>
              <w:insideH w:val="single" w:sz="4" w:space="0" w:color="000001"/>
              <w:insideV w:val="single" w:sz="8" w:space="0" w:color="000001"/>
            </w:tcBorders>
            <w:shd w:color="auto" w:fill="auto" w:val="clear"/>
            <w:tcMar>
              <w:left w:w="81" w:type="dxa"/>
            </w:tcMar>
          </w:tcPr>
          <w:p>
            <w:pPr>
              <w:pStyle w:val="Normal"/>
              <w:spacing w:lineRule="auto" w:line="259" w:before="0" w:after="0"/>
              <w:ind w:left="12" w:right="0" w:hanging="0"/>
              <w:jc w:val="left"/>
              <w:rPr/>
            </w:pPr>
            <w:r>
              <w:rPr/>
              <w:t xml:space="preserve">2 </w:t>
            </w:r>
          </w:p>
        </w:tc>
        <w:tc>
          <w:tcPr>
            <w:tcW w:w="772"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6" w:type="dxa"/>
            </w:tcMar>
          </w:tcPr>
          <w:p>
            <w:pPr>
              <w:pStyle w:val="Normal"/>
              <w:spacing w:lineRule="auto" w:line="259" w:before="0" w:after="0"/>
              <w:ind w:left="0" w:right="0" w:hanging="0"/>
              <w:jc w:val="left"/>
              <w:rPr/>
            </w:pPr>
            <w:r>
              <w:rPr/>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3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4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5 </w:t>
            </w:r>
          </w:p>
        </w:tc>
      </w:tr>
      <w:tr>
        <w:trPr>
          <w:trHeight w:val="538"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1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12" w:right="0" w:hanging="0"/>
              <w:jc w:val="left"/>
              <w:rPr/>
            </w:pPr>
            <w:r>
              <w:rPr/>
              <w:t xml:space="preserve">Penetracja w 25°C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17"/>
              <w:ind w:left="7" w:right="0" w:hanging="0"/>
              <w:jc w:val="left"/>
              <w:rPr/>
            </w:pPr>
            <w:r>
              <w:rPr/>
              <w:t xml:space="preserve">0,1 </w:t>
            </w:r>
          </w:p>
          <w:p>
            <w:pPr>
              <w:pStyle w:val="Normal"/>
              <w:spacing w:lineRule="auto" w:line="259" w:before="0" w:after="0"/>
              <w:ind w:left="7" w:right="0" w:hanging="0"/>
              <w:jc w:val="left"/>
              <w:rPr/>
            </w:pPr>
            <w:r>
              <w:rPr/>
              <w:t xml:space="preserve">mm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1426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35÷50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50÷70 </w:t>
            </w:r>
          </w:p>
        </w:tc>
      </w:tr>
      <w:tr>
        <w:trPr>
          <w:trHeight w:val="274"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2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12" w:right="0" w:hanging="0"/>
              <w:jc w:val="left"/>
              <w:rPr/>
            </w:pPr>
            <w:r>
              <w:rPr/>
              <w:t xml:space="preserve">Temperatura mięknienia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°C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1427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50÷58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46÷54 </w:t>
            </w:r>
          </w:p>
        </w:tc>
      </w:tr>
      <w:tr>
        <w:trPr>
          <w:trHeight w:val="276"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3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12" w:right="0" w:hanging="0"/>
              <w:jc w:val="left"/>
              <w:rPr/>
            </w:pPr>
            <w:r>
              <w:rPr/>
              <w:t xml:space="preserve">Temperatura zapłonu, nie mniej niż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°C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22592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240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230 </w:t>
            </w:r>
          </w:p>
        </w:tc>
      </w:tr>
      <w:tr>
        <w:trPr>
          <w:trHeight w:val="538"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4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0" w:right="0" w:hanging="0"/>
              <w:rPr/>
            </w:pPr>
            <w:r>
              <w:rPr/>
              <w:t xml:space="preserve">Zawartość składników rozpuszczalnych, nie mniej niż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 m/m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12592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99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99 </w:t>
            </w:r>
          </w:p>
        </w:tc>
      </w:tr>
      <w:tr>
        <w:trPr>
          <w:trHeight w:val="540"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5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0" w:right="0" w:hanging="0"/>
              <w:rPr/>
            </w:pPr>
            <w:r>
              <w:rPr/>
              <w:t xml:space="preserve">Zmiana masy po starzeniu (ubytek lub przyrost), nie więcej niż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 m/m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12607-1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0,5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0,5 </w:t>
            </w:r>
          </w:p>
        </w:tc>
      </w:tr>
      <w:tr>
        <w:trPr>
          <w:trHeight w:val="540"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6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0" w:right="0" w:hanging="0"/>
              <w:jc w:val="left"/>
              <w:rPr/>
            </w:pPr>
            <w:r>
              <w:rPr/>
              <w:t xml:space="preserve">Pozostała penetracja po starzeniu, nie mniej niż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1426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53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50 </w:t>
            </w:r>
          </w:p>
        </w:tc>
      </w:tr>
      <w:tr>
        <w:trPr>
          <w:trHeight w:val="538"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7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0" w:right="0" w:hanging="0"/>
              <w:rPr/>
            </w:pPr>
            <w:r>
              <w:rPr/>
              <w:t xml:space="preserve">Wzrost temp. mięknienia po starzeniu, nie więcej niż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°C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1427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8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9 </w:t>
            </w:r>
          </w:p>
        </w:tc>
      </w:tr>
      <w:tr>
        <w:trPr>
          <w:trHeight w:val="540" w:hRule="atLeast"/>
        </w:trPr>
        <w:tc>
          <w:tcPr>
            <w:tcW w:w="585" w:type="dxa"/>
            <w:tcBorders>
              <w:top w:val="single" w:sz="4" w:space="0" w:color="000001"/>
              <w:left w:val="single" w:sz="4" w:space="0" w:color="000001"/>
              <w:bottom w:val="single" w:sz="4" w:space="0" w:color="000001"/>
              <w:right w:val="single" w:sz="8" w:space="0" w:color="000001"/>
              <w:insideH w:val="single" w:sz="4" w:space="0" w:color="000001"/>
              <w:insideV w:val="single" w:sz="8" w:space="0" w:color="000001"/>
            </w:tcBorders>
            <w:shd w:color="auto" w:fill="auto" w:val="clear"/>
            <w:tcMar>
              <w:left w:w="91" w:type="dxa"/>
            </w:tcMar>
          </w:tcPr>
          <w:p>
            <w:pPr>
              <w:pStyle w:val="Normal"/>
              <w:spacing w:lineRule="auto" w:line="259" w:before="0" w:after="0"/>
              <w:ind w:left="7" w:right="0" w:hanging="0"/>
              <w:jc w:val="left"/>
              <w:rPr/>
            </w:pPr>
            <w:r>
              <w:rPr/>
              <w:t xml:space="preserve">8 </w:t>
            </w:r>
          </w:p>
        </w:tc>
        <w:tc>
          <w:tcPr>
            <w:tcW w:w="4166" w:type="dxa"/>
            <w:tcBorders>
              <w:top w:val="single" w:sz="4" w:space="0" w:color="000001"/>
              <w:left w:val="single" w:sz="8" w:space="0" w:color="000001"/>
              <w:bottom w:val="single" w:sz="4" w:space="0" w:color="000001"/>
              <w:right w:val="single" w:sz="4" w:space="0" w:color="000001"/>
              <w:insideH w:val="single" w:sz="4" w:space="0" w:color="000001"/>
              <w:insideV w:val="single" w:sz="4" w:space="0" w:color="000001"/>
            </w:tcBorders>
            <w:shd w:color="auto" w:fill="auto" w:val="clear"/>
            <w:tcMar>
              <w:left w:w="81" w:type="dxa"/>
            </w:tcMar>
          </w:tcPr>
          <w:p>
            <w:pPr>
              <w:pStyle w:val="Normal"/>
              <w:spacing w:lineRule="auto" w:line="259" w:before="0" w:after="0"/>
              <w:ind w:left="0" w:right="0" w:hanging="0"/>
              <w:jc w:val="left"/>
              <w:rPr/>
            </w:pPr>
            <w:r>
              <w:rPr/>
              <w:t xml:space="preserve">Temperatura łamliwości Fraassa, nie więcej niż </w:t>
            </w:r>
          </w:p>
        </w:tc>
        <w:tc>
          <w:tcPr>
            <w:tcW w:w="7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°C </w:t>
            </w:r>
          </w:p>
        </w:tc>
        <w:tc>
          <w:tcPr>
            <w:tcW w:w="21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PN-EN 12593  </w:t>
            </w:r>
          </w:p>
        </w:tc>
        <w:tc>
          <w:tcPr>
            <w:tcW w:w="9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5" w:right="0" w:hanging="0"/>
              <w:jc w:val="left"/>
              <w:rPr/>
            </w:pPr>
            <w:r>
              <w:rPr/>
              <w:t xml:space="preserve">-5 </w:t>
            </w:r>
          </w:p>
        </w:tc>
        <w:tc>
          <w:tcPr>
            <w:tcW w:w="9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1" w:type="dxa"/>
            </w:tcMar>
          </w:tcPr>
          <w:p>
            <w:pPr>
              <w:pStyle w:val="Normal"/>
              <w:spacing w:lineRule="auto" w:line="259" w:before="0" w:after="0"/>
              <w:ind w:left="7" w:right="0" w:hanging="0"/>
              <w:jc w:val="left"/>
              <w:rPr/>
            </w:pPr>
            <w:r>
              <w:rPr/>
              <w:t xml:space="preserve">-8 </w:t>
            </w:r>
          </w:p>
        </w:tc>
      </w:tr>
    </w:tbl>
    <w:p>
      <w:pPr>
        <w:pStyle w:val="Normal"/>
        <w:spacing w:lineRule="auto" w:line="259" w:before="0" w:after="0"/>
        <w:ind w:left="262" w:right="0" w:hanging="0"/>
        <w:jc w:val="left"/>
        <w:rPr/>
      </w:pPr>
      <w:r>
        <w:rPr/>
      </w:r>
    </w:p>
    <w:p>
      <w:pPr>
        <w:pStyle w:val="Normal"/>
        <w:ind w:left="266" w:right="461" w:hanging="10"/>
        <w:rPr/>
      </w:pPr>
      <w:r>
        <w:rPr/>
        <w:t xml:space="preserve">Tablica 3. Wymagania wobec asfaltu modyfikowanego polimerami wg 14023:2011/Ap1:2014-04 </w:t>
      </w:r>
    </w:p>
    <w:tbl>
      <w:tblPr>
        <w:tblStyle w:val="TableGrid"/>
        <w:tblW w:w="9326"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5" w:type="dxa"/>
          <w:bottom w:w="0" w:type="dxa"/>
          <w:right w:w="108" w:type="dxa"/>
        </w:tblCellMar>
        <w:tblLook w:val="04a0"/>
      </w:tblPr>
      <w:tblGrid>
        <w:gridCol w:w="2378"/>
        <w:gridCol w:w="2409"/>
        <w:gridCol w:w="1417"/>
        <w:gridCol w:w="992"/>
        <w:gridCol w:w="1421"/>
        <w:gridCol w:w="708"/>
      </w:tblGrid>
      <w:tr>
        <w:trPr>
          <w:trHeight w:val="929" w:hRule="atLeast"/>
        </w:trPr>
        <w:tc>
          <w:tcPr>
            <w:tcW w:w="2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67" w:right="51" w:hanging="0"/>
              <w:jc w:val="center"/>
              <w:rPr/>
            </w:pPr>
            <w:r>
              <w:rPr/>
              <w:t xml:space="preserve">Wymaganie podstawowe </w:t>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0" w:right="43" w:hanging="0"/>
              <w:jc w:val="center"/>
              <w:rPr/>
            </w:pPr>
            <w:r>
              <w:rPr/>
              <w:t xml:space="preserve">Właściwość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0" w:right="0" w:hanging="0"/>
              <w:jc w:val="center"/>
              <w:rPr/>
            </w:pPr>
            <w:r>
              <w:rPr/>
              <w:t xml:space="preserve">Metoda badania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0" w:right="0" w:hanging="0"/>
              <w:rPr/>
            </w:pPr>
            <w:r>
              <w:rPr/>
              <w:t xml:space="preserve">Jednostka </w:t>
            </w:r>
          </w:p>
        </w:tc>
        <w:tc>
          <w:tcPr>
            <w:tcW w:w="2129"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22"/>
              <w:ind w:left="0" w:right="44" w:hanging="0"/>
              <w:jc w:val="center"/>
              <w:rPr/>
            </w:pPr>
            <w:r>
              <w:rPr/>
              <w:t xml:space="preserve">Rodzaj asfaltu </w:t>
            </w:r>
          </w:p>
          <w:p>
            <w:pPr>
              <w:pStyle w:val="Normal"/>
              <w:spacing w:lineRule="auto" w:line="259" w:before="0" w:after="0"/>
              <w:ind w:left="0" w:right="45" w:hanging="0"/>
              <w:jc w:val="center"/>
              <w:rPr/>
            </w:pPr>
            <w:r>
              <w:rPr/>
              <w:t xml:space="preserve">PmB 25/55–60 </w:t>
            </w:r>
          </w:p>
        </w:tc>
      </w:tr>
      <w:tr>
        <w:trPr>
          <w:trHeight w:val="432" w:hRule="atLeast"/>
        </w:trPr>
        <w:tc>
          <w:tcPr>
            <w:tcW w:w="2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202" w:right="0" w:hanging="0"/>
              <w:jc w:val="left"/>
              <w:rPr/>
            </w:pPr>
            <w:r>
              <w:rPr/>
              <w:t xml:space="preserve">wymaganie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20" w:right="0" w:hanging="0"/>
              <w:jc w:val="left"/>
              <w:rPr/>
            </w:pPr>
            <w:r>
              <w:rPr/>
              <w:t xml:space="preserve">klasa </w:t>
            </w:r>
          </w:p>
        </w:tc>
      </w:tr>
      <w:tr>
        <w:trPr>
          <w:trHeight w:val="804" w:hRule="atLeast"/>
        </w:trPr>
        <w:tc>
          <w:tcPr>
            <w:tcW w:w="2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56" w:hanging="0"/>
              <w:rPr/>
            </w:pPr>
            <w:r>
              <w:rPr/>
              <w:t xml:space="preserve">Konsystencja w pośrednich temperaturach eksploatacyjnych </w:t>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1037" w:hanging="0"/>
              <w:jc w:val="left"/>
              <w:rPr/>
            </w:pPr>
            <w:r>
              <w:rPr/>
              <w:t xml:space="preserve">Penetracja  w 25°C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PN-EN 1426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0" w:right="0" w:hanging="0"/>
              <w:jc w:val="left"/>
              <w:rPr/>
            </w:pPr>
            <w:r>
              <w:rPr/>
              <w:t xml:space="preserve">0,1 mm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25-55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3 </w:t>
            </w:r>
          </w:p>
        </w:tc>
      </w:tr>
      <w:tr>
        <w:trPr>
          <w:trHeight w:val="804" w:hRule="atLeast"/>
        </w:trPr>
        <w:tc>
          <w:tcPr>
            <w:tcW w:w="2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56" w:hanging="0"/>
              <w:rPr/>
            </w:pPr>
            <w:r>
              <w:rPr/>
              <w:t xml:space="preserve">Konsystencja w wysokich temperaturach eksploatacyjnych </w:t>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Temperatura mięknienia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PN-EN 1427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°C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60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6 </w:t>
            </w:r>
          </w:p>
        </w:tc>
      </w:tr>
      <w:tr>
        <w:trPr>
          <w:trHeight w:val="1068" w:hRule="atLeast"/>
        </w:trPr>
        <w:tc>
          <w:tcPr>
            <w:tcW w:w="2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Kohezja </w:t>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rPr/>
            </w:pPr>
            <w:r>
              <w:rPr/>
              <w:t xml:space="preserve">Siła rozciągania (mała prędkość rozciągania)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17"/>
              <w:ind w:left="108" w:right="0" w:hanging="0"/>
              <w:jc w:val="left"/>
              <w:rPr/>
            </w:pPr>
            <w:r>
              <w:rPr/>
              <w:t xml:space="preserve">PN-EN </w:t>
            </w:r>
          </w:p>
          <w:p>
            <w:pPr>
              <w:pStyle w:val="Normal"/>
              <w:spacing w:lineRule="auto" w:line="259" w:before="0" w:after="17"/>
              <w:ind w:left="108" w:right="0" w:hanging="0"/>
              <w:jc w:val="left"/>
              <w:rPr/>
            </w:pPr>
            <w:r>
              <w:rPr/>
              <w:t xml:space="preserve">13589 </w:t>
            </w:r>
          </w:p>
          <w:p>
            <w:pPr>
              <w:pStyle w:val="Normal"/>
              <w:spacing w:lineRule="auto" w:line="259" w:before="0" w:after="19"/>
              <w:ind w:left="108" w:right="0" w:hanging="0"/>
              <w:jc w:val="left"/>
              <w:rPr/>
            </w:pPr>
            <w:r>
              <w:rPr/>
              <w:t xml:space="preserve">PN-EN </w:t>
            </w:r>
          </w:p>
          <w:p>
            <w:pPr>
              <w:pStyle w:val="Normal"/>
              <w:spacing w:lineRule="auto" w:line="259" w:before="0" w:after="0"/>
              <w:ind w:left="108" w:right="0" w:hanging="0"/>
              <w:jc w:val="left"/>
              <w:rPr/>
            </w:pPr>
            <w:r>
              <w:rPr/>
              <w:t xml:space="preserve">13703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J/cm</w:t>
            </w:r>
            <w:r>
              <w:rPr>
                <w:vertAlign w:val="superscript"/>
              </w:rPr>
              <w:t>2</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2 w 10°C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6 </w:t>
            </w:r>
          </w:p>
        </w:tc>
      </w:tr>
      <w:tr>
        <w:trPr>
          <w:trHeight w:val="538" w:hRule="atLeast"/>
        </w:trPr>
        <w:tc>
          <w:tcPr>
            <w:tcW w:w="237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90" w:before="0" w:after="0"/>
              <w:ind w:left="108" w:right="57" w:hanging="0"/>
              <w:rPr/>
            </w:pPr>
            <w:r>
              <w:rPr/>
              <w:t xml:space="preserve">Stałość konsystencji (odporność  na starzenie wg PN-EN </w:t>
            </w:r>
          </w:p>
          <w:p>
            <w:pPr>
              <w:pStyle w:val="Normal"/>
              <w:spacing w:lineRule="auto" w:line="259" w:before="0" w:after="0"/>
              <w:ind w:left="108" w:right="0" w:hanging="0"/>
              <w:jc w:val="left"/>
              <w:rPr/>
            </w:pPr>
            <w:r>
              <w:rPr/>
              <w:t xml:space="preserve">12607-1 lub -3 </w:t>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Zmiana masy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PN-EN 12607-1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0,5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3 </w:t>
            </w:r>
          </w:p>
        </w:tc>
      </w:tr>
      <w:tr>
        <w:trPr>
          <w:trHeight w:val="276" w:hRule="atLeast"/>
        </w:trPr>
        <w:tc>
          <w:tcPr>
            <w:tcW w:w="237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Pozostała penetracja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PN-EN 1426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 </w:t>
            </w:r>
            <w:r>
              <w:rPr/>
              <w:t xml:space="preserve">60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7 </w:t>
            </w:r>
          </w:p>
        </w:tc>
      </w:tr>
      <w:tr>
        <w:trPr>
          <w:trHeight w:val="538" w:hRule="atLeast"/>
        </w:trPr>
        <w:tc>
          <w:tcPr>
            <w:tcW w:w="237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Wzrost </w:t>
              <w:tab/>
              <w:t xml:space="preserve">tempera-tury mięknienia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PN-EN 1427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°C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8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2 </w:t>
            </w:r>
          </w:p>
        </w:tc>
      </w:tr>
      <w:tr>
        <w:trPr>
          <w:trHeight w:val="540" w:hRule="atLeast"/>
        </w:trPr>
        <w:tc>
          <w:tcPr>
            <w:tcW w:w="2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Inne właściwości </w:t>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Temperatura zapłonu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tabs>
                <w:tab w:val="right" w:pos="1418" w:leader="none"/>
              </w:tabs>
              <w:spacing w:lineRule="auto" w:line="259" w:before="0" w:after="26"/>
              <w:ind w:left="0" w:right="0" w:hanging="0"/>
              <w:jc w:val="left"/>
              <w:rPr/>
            </w:pPr>
            <w:r>
              <w:rPr/>
              <w:t xml:space="preserve">PN-EN </w:t>
              <w:tab/>
              <w:t xml:space="preserve">ISO </w:t>
            </w:r>
          </w:p>
          <w:p>
            <w:pPr>
              <w:pStyle w:val="Normal"/>
              <w:spacing w:lineRule="auto" w:line="259" w:before="0" w:after="0"/>
              <w:ind w:left="108" w:right="0" w:hanging="0"/>
              <w:jc w:val="left"/>
              <w:rPr/>
            </w:pPr>
            <w:r>
              <w:rPr/>
              <w:t xml:space="preserve">2592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°C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235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3 </w:t>
            </w:r>
          </w:p>
        </w:tc>
      </w:tr>
      <w:tr>
        <w:trPr>
          <w:trHeight w:val="600" w:hRule="atLeast"/>
        </w:trPr>
        <w:tc>
          <w:tcPr>
            <w:tcW w:w="237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140" w:hanging="0"/>
              <w:jc w:val="left"/>
              <w:rPr/>
            </w:pPr>
            <w:r>
              <w:rPr/>
              <w:t xml:space="preserve">Wymagania dodatkowe </w:t>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Temperatura łamliwości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29" w:hanging="0"/>
              <w:jc w:val="left"/>
              <w:rPr/>
            </w:pPr>
            <w:r>
              <w:rPr/>
              <w:t xml:space="preserve">PN-EN 12593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°C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-10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5 </w:t>
            </w:r>
          </w:p>
        </w:tc>
      </w:tr>
      <w:tr>
        <w:trPr>
          <w:trHeight w:val="538" w:hRule="atLeast"/>
        </w:trPr>
        <w:tc>
          <w:tcPr>
            <w:tcW w:w="237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tabs>
                <w:tab w:val="right" w:pos="2410" w:leader="none"/>
              </w:tabs>
              <w:spacing w:lineRule="auto" w:line="259" w:before="0" w:after="12"/>
              <w:ind w:left="0" w:right="0" w:hanging="0"/>
              <w:jc w:val="left"/>
              <w:rPr/>
            </w:pPr>
            <w:r>
              <w:rPr/>
              <w:t xml:space="preserve">Nawrót </w:t>
              <w:tab/>
              <w:t xml:space="preserve">sprężysty </w:t>
            </w:r>
          </w:p>
          <w:p>
            <w:pPr>
              <w:pStyle w:val="Normal"/>
              <w:spacing w:lineRule="auto" w:line="259" w:before="0" w:after="0"/>
              <w:ind w:left="108" w:right="0" w:hanging="0"/>
              <w:jc w:val="left"/>
              <w:rPr/>
            </w:pPr>
            <w:r>
              <w:rPr/>
              <w:t xml:space="preserve">w 25°C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29" w:hanging="0"/>
              <w:jc w:val="left"/>
              <w:rPr/>
            </w:pPr>
            <w:r>
              <w:rPr/>
              <w:t xml:space="preserve">PN-EN 13398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60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4 </w:t>
            </w:r>
          </w:p>
        </w:tc>
      </w:tr>
      <w:tr>
        <w:trPr>
          <w:trHeight w:val="804" w:hRule="atLeast"/>
        </w:trPr>
        <w:tc>
          <w:tcPr>
            <w:tcW w:w="237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08" w:right="0" w:hanging="0"/>
              <w:jc w:val="left"/>
              <w:rPr/>
            </w:pPr>
            <w:r>
              <w:rPr/>
              <w:t xml:space="preserve">Stabilność </w:t>
              <w:tab/>
              <w:t xml:space="preserve">magazynowania. Różnica temperatur mięknienia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17"/>
              <w:ind w:left="108" w:right="0" w:hanging="0"/>
              <w:jc w:val="left"/>
              <w:rPr/>
            </w:pPr>
            <w:r>
              <w:rPr/>
              <w:t xml:space="preserve">PN-EN </w:t>
            </w:r>
          </w:p>
          <w:p>
            <w:pPr>
              <w:pStyle w:val="Normal"/>
              <w:spacing w:lineRule="auto" w:line="259" w:before="0" w:after="17"/>
              <w:ind w:left="108" w:right="0" w:hanging="0"/>
              <w:jc w:val="left"/>
              <w:rPr/>
            </w:pPr>
            <w:r>
              <w:rPr/>
              <w:t xml:space="preserve">13399  </w:t>
            </w:r>
          </w:p>
          <w:p>
            <w:pPr>
              <w:pStyle w:val="Normal"/>
              <w:spacing w:lineRule="auto" w:line="259" w:before="0" w:after="0"/>
              <w:ind w:left="108" w:right="0" w:hanging="0"/>
              <w:jc w:val="left"/>
              <w:rPr/>
            </w:pPr>
            <w:r>
              <w:rPr/>
              <w:t xml:space="preserve">PN-EN 1427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°C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5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2 </w:t>
            </w:r>
          </w:p>
        </w:tc>
      </w:tr>
      <w:tr>
        <w:trPr>
          <w:trHeight w:val="1068" w:hRule="atLeast"/>
        </w:trPr>
        <w:tc>
          <w:tcPr>
            <w:tcW w:w="237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56" w:hanging="0"/>
              <w:rPr/>
            </w:pPr>
            <w:r>
              <w:rPr/>
              <w:t xml:space="preserve">Nawrót sprężysty w 25°C po sta-rzeniu wg PN-EN 12607-1 lub -3  </w:t>
            </w:r>
          </w:p>
        </w:tc>
        <w:tc>
          <w:tcPr>
            <w:tcW w:w="1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17"/>
              <w:ind w:left="108" w:right="0" w:hanging="0"/>
              <w:jc w:val="left"/>
              <w:rPr/>
            </w:pPr>
            <w:r>
              <w:rPr/>
              <w:t xml:space="preserve">PN-EN </w:t>
            </w:r>
          </w:p>
          <w:p>
            <w:pPr>
              <w:pStyle w:val="Normal"/>
              <w:spacing w:lineRule="auto" w:line="259" w:before="0" w:after="19"/>
              <w:ind w:left="108" w:right="0" w:hanging="0"/>
              <w:jc w:val="left"/>
              <w:rPr/>
            </w:pPr>
            <w:r>
              <w:rPr/>
              <w:t xml:space="preserve">12607-1  </w:t>
            </w:r>
          </w:p>
          <w:p>
            <w:pPr>
              <w:pStyle w:val="Normal"/>
              <w:spacing w:lineRule="auto" w:line="259" w:before="0" w:after="17"/>
              <w:ind w:left="108" w:right="0" w:hanging="0"/>
              <w:jc w:val="left"/>
              <w:rPr/>
            </w:pPr>
            <w:r>
              <w:rPr/>
              <w:t xml:space="preserve">PN-EN </w:t>
            </w:r>
          </w:p>
          <w:p>
            <w:pPr>
              <w:pStyle w:val="Normal"/>
              <w:spacing w:lineRule="auto" w:line="259" w:before="0" w:after="0"/>
              <w:ind w:left="108" w:right="0" w:hanging="0"/>
              <w:jc w:val="left"/>
              <w:rPr/>
            </w:pPr>
            <w:r>
              <w:rPr/>
              <w:t xml:space="preserve">13398  </w:t>
            </w:r>
          </w:p>
        </w:tc>
        <w:tc>
          <w:tcPr>
            <w:tcW w:w="9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p>
        </w:tc>
        <w:tc>
          <w:tcPr>
            <w:tcW w:w="1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 </w:t>
            </w:r>
            <w:r>
              <w:rPr/>
              <w:t xml:space="preserve">50 </w:t>
            </w:r>
          </w:p>
        </w:tc>
        <w:tc>
          <w:tcPr>
            <w:tcW w:w="7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108" w:right="0" w:hanging="0"/>
              <w:jc w:val="left"/>
              <w:rPr/>
            </w:pPr>
            <w:r>
              <w:rPr/>
              <w:t xml:space="preserve">4 </w:t>
            </w:r>
          </w:p>
        </w:tc>
      </w:tr>
    </w:tbl>
    <w:p>
      <w:pPr>
        <w:pStyle w:val="Normal"/>
        <w:spacing w:lineRule="auto" w:line="259" w:before="0" w:after="161"/>
        <w:ind w:left="262" w:right="0" w:hanging="0"/>
        <w:jc w:val="left"/>
        <w:rPr/>
      </w:pPr>
      <w:r>
        <w:rPr/>
      </w:r>
    </w:p>
    <w:p>
      <w:pPr>
        <w:pStyle w:val="Normal"/>
        <w:ind w:left="266" w:right="461" w:hanging="10"/>
        <w:rPr/>
      </w:pPr>
      <w:r>
        <w:rPr>
          <w:b/>
        </w:rPr>
        <w:t xml:space="preserve">2.5.2. </w:t>
      </w:r>
      <w:r>
        <w:rPr/>
        <w:t>Kruszywo</w:t>
      </w:r>
    </w:p>
    <w:p>
      <w:pPr>
        <w:pStyle w:val="Normal"/>
        <w:spacing w:lineRule="auto" w:line="259" w:before="0" w:after="18"/>
        <w:ind w:left="262" w:right="0" w:hanging="0"/>
        <w:jc w:val="left"/>
        <w:rPr/>
      </w:pPr>
      <w:r>
        <w:rPr/>
      </w:r>
    </w:p>
    <w:p>
      <w:pPr>
        <w:pStyle w:val="Normal"/>
        <w:ind w:left="256" w:right="461" w:firstLine="566"/>
        <w:rPr/>
      </w:pPr>
      <w:r>
        <w:rPr/>
        <w:t xml:space="preserve">Do warstw wiążących z betonu asfaltowego (AC oraz AC WMS) należy stosować kruszywo według PN-EN 13043 i WT-1 Kruszywa 2014, obejmujące kruszywo grube, kruszywo drobne i wypełniacz. Kruszywa powinny spełniać wymagania podane w WT-1 Kruszywa 2014 – tablica 4, 5, 6, 7 i 8 przywołane poniżej: </w:t>
      </w:r>
    </w:p>
    <w:p>
      <w:pPr>
        <w:pStyle w:val="Normal"/>
        <w:spacing w:lineRule="auto" w:line="259" w:before="0" w:after="20"/>
        <w:ind w:left="828" w:right="0" w:hanging="0"/>
        <w:jc w:val="left"/>
        <w:rPr/>
      </w:pPr>
      <w:r>
        <w:rPr/>
      </w:r>
    </w:p>
    <w:p>
      <w:pPr>
        <w:pStyle w:val="Normal"/>
        <w:ind w:left="266" w:right="461" w:hanging="10"/>
        <w:rPr/>
      </w:pPr>
      <w:r>
        <w:rPr/>
        <w:t xml:space="preserve">Tablica 4. Wymagane właściwości kruszywa grubego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 w:type="dxa"/>
          <w:left w:w="98" w:type="dxa"/>
          <w:bottom w:w="0" w:type="dxa"/>
          <w:right w:w="55" w:type="dxa"/>
        </w:tblCellMar>
        <w:tblLook w:val="04a0"/>
      </w:tblPr>
      <w:tblGrid>
        <w:gridCol w:w="501"/>
        <w:gridCol w:w="4735"/>
        <w:gridCol w:w="1460"/>
        <w:gridCol w:w="1459"/>
        <w:gridCol w:w="1418"/>
      </w:tblGrid>
      <w:tr>
        <w:trPr>
          <w:trHeight w:val="374" w:hRule="atLeast"/>
        </w:trPr>
        <w:tc>
          <w:tcPr>
            <w:tcW w:w="501"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Lp </w:t>
            </w:r>
          </w:p>
        </w:tc>
        <w:tc>
          <w:tcPr>
            <w:tcW w:w="4735"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7" w:hanging="0"/>
              <w:jc w:val="center"/>
              <w:rPr/>
            </w:pPr>
            <w:r>
              <w:rPr/>
              <w:t xml:space="preserve">Właściwości kruszywa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vAlign w:val="bottom"/>
          </w:tcPr>
          <w:p>
            <w:pPr>
              <w:pStyle w:val="Normal"/>
              <w:spacing w:lineRule="auto" w:line="259" w:before="0" w:after="0"/>
              <w:ind w:left="55" w:right="0" w:hanging="0"/>
              <w:jc w:val="left"/>
              <w:rPr/>
            </w:pPr>
            <w:r>
              <w:rPr/>
              <w:t xml:space="preserve">Wymagania </w:t>
            </w:r>
          </w:p>
        </w:tc>
      </w:tr>
      <w:tr>
        <w:trPr>
          <w:trHeight w:val="374" w:hRule="atLeast"/>
        </w:trPr>
        <w:tc>
          <w:tcPr>
            <w:tcW w:w="501"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473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63" w:hanging="0"/>
              <w:jc w:val="center"/>
              <w:rPr/>
            </w:pPr>
            <w:r>
              <w:rPr/>
              <w:t xml:space="preserve">KR1 – KR2 </w:t>
            </w:r>
          </w:p>
        </w:tc>
        <w:tc>
          <w:tcPr>
            <w:tcW w:w="14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62" w:hanging="0"/>
              <w:jc w:val="center"/>
              <w:rPr/>
            </w:pPr>
            <w:r>
              <w:rPr/>
              <w:t xml:space="preserve">KR3 – KR4 </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72" w:hanging="0"/>
              <w:jc w:val="right"/>
              <w:rPr/>
            </w:pPr>
            <w:r>
              <w:rPr/>
              <w:t xml:space="preserve">KR5 – KR6 </w:t>
            </w:r>
          </w:p>
        </w:tc>
      </w:tr>
      <w:tr>
        <w:trPr>
          <w:trHeight w:val="602"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59" w:hanging="0"/>
              <w:jc w:val="center"/>
              <w:rPr/>
            </w:pPr>
            <w:r>
              <w:rPr/>
              <w:t xml:space="preserve">1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Uziarnienie według PN-EN 933-1, kategoria nie niższa niż: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6" w:hanging="0"/>
              <w:jc w:val="center"/>
              <w:rPr/>
            </w:pPr>
            <w:r>
              <w:rPr/>
              <w:t>G</w:t>
            </w:r>
            <w:r>
              <w:rPr>
                <w:vertAlign w:val="subscript"/>
              </w:rPr>
              <w:t>C</w:t>
            </w:r>
            <w:r>
              <w:rPr/>
              <w:t xml:space="preserve">85/20 </w:t>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5" w:hanging="0"/>
              <w:jc w:val="center"/>
              <w:rPr/>
            </w:pPr>
            <w:r>
              <w:rPr/>
              <w:t>G</w:t>
            </w:r>
            <w:r>
              <w:rPr>
                <w:vertAlign w:val="subscript"/>
              </w:rPr>
              <w:t>C</w:t>
            </w:r>
            <w:r>
              <w:rPr/>
              <w:t xml:space="preserve">90/20 </w:t>
            </w:r>
          </w:p>
        </w:tc>
      </w:tr>
      <w:tr>
        <w:trPr>
          <w:trHeight w:val="1102"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9" w:hanging="0"/>
              <w:jc w:val="center"/>
              <w:rPr/>
            </w:pPr>
            <w:r>
              <w:rPr/>
              <w:t xml:space="preserve">2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rPr/>
            </w:pPr>
            <w:r>
              <w:rPr/>
              <w:t xml:space="preserve">Tolerancja uziarnienia; odchylenia nie większe niż według kategorii: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vAlign w:val="bottom"/>
          </w:tcPr>
          <w:p>
            <w:pPr>
              <w:pStyle w:val="Normal"/>
              <w:spacing w:lineRule="auto" w:line="259" w:before="0" w:after="182"/>
              <w:ind w:left="348" w:right="0" w:hanging="0"/>
              <w:jc w:val="left"/>
              <w:rPr/>
            </w:pPr>
            <w:r>
              <w:rPr/>
              <w:t>G</w:t>
            </w:r>
            <w:r>
              <w:rPr>
                <w:sz w:val="13"/>
              </w:rPr>
              <w:t>25/15</w:t>
            </w:r>
          </w:p>
          <w:p>
            <w:pPr>
              <w:pStyle w:val="Normal"/>
              <w:spacing w:lineRule="auto" w:line="259" w:before="0" w:after="188"/>
              <w:ind w:left="348" w:right="0" w:hanging="0"/>
              <w:jc w:val="left"/>
              <w:rPr/>
            </w:pPr>
            <w:r>
              <w:rPr/>
              <w:t>G</w:t>
            </w:r>
            <w:r>
              <w:rPr>
                <w:sz w:val="13"/>
              </w:rPr>
              <w:t>20/15</w:t>
            </w:r>
          </w:p>
          <w:p>
            <w:pPr>
              <w:pStyle w:val="Normal"/>
              <w:spacing w:lineRule="auto" w:line="259" w:before="0" w:after="0"/>
              <w:ind w:left="290" w:right="0" w:hanging="0"/>
              <w:jc w:val="left"/>
              <w:rPr/>
            </w:pPr>
            <w:r>
              <w:rPr/>
              <w:t>G</w:t>
            </w:r>
            <w:r>
              <w:rPr>
                <w:sz w:val="13"/>
              </w:rPr>
              <w:t>20/17,5</w:t>
            </w:r>
          </w:p>
        </w:tc>
      </w:tr>
      <w:tr>
        <w:trPr>
          <w:trHeight w:val="605"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59" w:hanging="0"/>
              <w:jc w:val="center"/>
              <w:rPr/>
            </w:pPr>
            <w:r>
              <w:rPr/>
              <w:t xml:space="preserve">3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Zawartość pyłów według PN-EN 933-1; kategoria nie wyższa niż: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vAlign w:val="center"/>
          </w:tcPr>
          <w:p>
            <w:pPr>
              <w:pStyle w:val="Normal"/>
              <w:spacing w:lineRule="auto" w:line="259" w:before="0" w:after="0"/>
              <w:ind w:left="511" w:right="0" w:hanging="0"/>
              <w:jc w:val="left"/>
              <w:rPr/>
            </w:pPr>
            <w:r>
              <w:rPr/>
              <w:t xml:space="preserve">f2 </w:t>
            </w:r>
          </w:p>
        </w:tc>
      </w:tr>
      <w:tr>
        <w:trPr>
          <w:trHeight w:val="374"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9" w:hanging="0"/>
              <w:jc w:val="center"/>
              <w:rPr/>
            </w:pPr>
            <w:r>
              <w:rPr/>
              <w:t xml:space="preserve">4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 xml:space="preserve">Kształt kruszywa według PN-EN 933-3 lub według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65" w:hanging="0"/>
              <w:jc w:val="center"/>
              <w:rPr/>
            </w:pPr>
            <w:r>
              <w:rPr/>
              <w:t>FI</w:t>
            </w:r>
            <w:r>
              <w:rPr>
                <w:sz w:val="13"/>
              </w:rPr>
              <w:t>35</w:t>
            </w:r>
            <w:r>
              <w:rPr/>
              <w:t xml:space="preserve"> lub SI</w:t>
            </w:r>
            <w:r>
              <w:rPr>
                <w:sz w:val="13"/>
              </w:rPr>
              <w:t xml:space="preserve">35 </w:t>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65" w:hanging="0"/>
              <w:jc w:val="center"/>
              <w:rPr/>
            </w:pPr>
            <w:r>
              <w:rPr/>
              <w:t>FI</w:t>
            </w:r>
            <w:r>
              <w:rPr>
                <w:vertAlign w:val="subscript"/>
              </w:rPr>
              <w:t>25</w:t>
            </w:r>
            <w:r>
              <w:rPr/>
              <w:t xml:space="preserve"> lub SI</w:t>
            </w:r>
            <w:r>
              <w:rPr>
                <w:vertAlign w:val="subscript"/>
              </w:rPr>
              <w:t>25</w:t>
            </w:r>
          </w:p>
        </w:tc>
      </w:tr>
      <w:tr>
        <w:trPr>
          <w:trHeight w:val="375"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PN-EN 933-4, kategoria nie wyższa niż: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3" w:hanging="0"/>
              <w:jc w:val="center"/>
              <w:rPr/>
            </w:pPr>
            <w:r>
              <w:rPr/>
            </w:r>
          </w:p>
        </w:tc>
      </w:tr>
      <w:tr>
        <w:trPr>
          <w:trHeight w:val="833"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9" w:hanging="0"/>
              <w:jc w:val="center"/>
              <w:rPr/>
            </w:pPr>
            <w:r>
              <w:rPr/>
              <w:t xml:space="preserve">5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6" w:hanging="0"/>
              <w:rPr/>
            </w:pPr>
            <w:r>
              <w:rPr/>
              <w:t xml:space="preserve">Procentowa zawartość ziaren o powierzchni przekruszonej i łamanej według PN-EN 933-5; kategoria nie niższa niż: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6" w:hanging="0"/>
              <w:jc w:val="center"/>
              <w:rPr/>
            </w:pPr>
            <w:r>
              <w:rPr/>
              <w:t>C</w:t>
            </w:r>
            <w:r>
              <w:rPr>
                <w:sz w:val="13"/>
              </w:rPr>
              <w:t xml:space="preserve">Deklarowana </w:t>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95"/>
              <w:ind w:left="0" w:right="66" w:hanging="0"/>
              <w:jc w:val="center"/>
              <w:rPr/>
            </w:pPr>
            <w:r>
              <w:rPr/>
              <w:t>C</w:t>
            </w:r>
            <w:r>
              <w:rPr>
                <w:sz w:val="13"/>
              </w:rPr>
              <w:t xml:space="preserve">50/10 </w:t>
            </w:r>
          </w:p>
          <w:p>
            <w:pPr>
              <w:pStyle w:val="Normal"/>
              <w:spacing w:lineRule="auto" w:line="259" w:before="0" w:after="0"/>
              <w:ind w:left="0" w:right="3" w:hanging="0"/>
              <w:jc w:val="center"/>
              <w:rPr/>
            </w:pPr>
            <w:r>
              <w:rPr/>
            </w:r>
          </w:p>
        </w:tc>
      </w:tr>
      <w:tr>
        <w:trPr>
          <w:trHeight w:val="835"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9" w:hanging="0"/>
              <w:jc w:val="center"/>
              <w:rPr/>
            </w:pPr>
            <w:r>
              <w:rPr/>
              <w:t xml:space="preserve">6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6" w:hanging="0"/>
              <w:rPr/>
            </w:pPr>
            <w:r>
              <w:rPr/>
              <w:t xml:space="preserve">Odporność kruszywa na rozdrabnianie według PNEN 1097-2, rozdział 5; badana na kruszywie o wymiarze 10/14, kategoria nie wyższa niż: </w:t>
            </w:r>
          </w:p>
        </w:tc>
        <w:tc>
          <w:tcPr>
            <w:tcW w:w="1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5" w:hanging="0"/>
              <w:jc w:val="center"/>
              <w:rPr/>
            </w:pPr>
            <w:r>
              <w:rPr/>
              <w:t>LA</w:t>
            </w:r>
            <w:r>
              <w:rPr>
                <w:vertAlign w:val="subscript"/>
              </w:rPr>
              <w:t>35</w:t>
            </w:r>
          </w:p>
        </w:tc>
        <w:tc>
          <w:tcPr>
            <w:tcW w:w="287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149"/>
              <w:ind w:left="0" w:right="65" w:hanging="0"/>
              <w:jc w:val="center"/>
              <w:rPr/>
            </w:pPr>
            <w:r>
              <w:rPr/>
              <w:t>LA</w:t>
            </w:r>
            <w:r>
              <w:rPr>
                <w:vertAlign w:val="subscript"/>
              </w:rPr>
              <w:t>30</w:t>
            </w:r>
          </w:p>
          <w:p>
            <w:pPr>
              <w:pStyle w:val="Normal"/>
              <w:spacing w:lineRule="auto" w:line="259" w:before="0" w:after="0"/>
              <w:ind w:left="0" w:right="22" w:hanging="0"/>
              <w:jc w:val="center"/>
              <w:rPr/>
            </w:pPr>
            <w:r>
              <w:rPr/>
            </w:r>
          </w:p>
        </w:tc>
      </w:tr>
      <w:tr>
        <w:trPr>
          <w:trHeight w:val="602"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59" w:hanging="0"/>
              <w:jc w:val="center"/>
              <w:rPr/>
            </w:pPr>
            <w:r>
              <w:rPr/>
              <w:t xml:space="preserve">7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Gęstość ziaren według PN-EN 1097-6, rozdz. 7, 8 lub 9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70" w:hanging="0"/>
              <w:jc w:val="center"/>
              <w:rPr/>
            </w:pPr>
            <w:r>
              <w:rPr/>
              <w:t xml:space="preserve">deklarowana przez producenta </w:t>
            </w:r>
          </w:p>
        </w:tc>
      </w:tr>
      <w:tr>
        <w:trPr>
          <w:trHeight w:val="605"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59" w:hanging="0"/>
              <w:jc w:val="center"/>
              <w:rPr/>
            </w:pPr>
            <w:r>
              <w:rPr/>
              <w:t xml:space="preserve">8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Nasiąkliwość według PN-EN 1097-6, rozdz. 7, 8 lub 9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WA</w:t>
            </w:r>
            <w:r>
              <w:rPr>
                <w:vertAlign w:val="subscript"/>
              </w:rPr>
              <w:t>24</w:t>
            </w:r>
            <w:r>
              <w:rPr/>
              <w:t xml:space="preserve">2 </w:t>
            </w:r>
          </w:p>
        </w:tc>
      </w:tr>
      <w:tr>
        <w:trPr>
          <w:trHeight w:val="466"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9" w:hanging="0"/>
              <w:jc w:val="center"/>
              <w:rPr/>
            </w:pPr>
            <w:r>
              <w:rPr/>
              <w:t xml:space="preserve">9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Gęstość nasypowa według PN-EN 1097-3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70" w:hanging="0"/>
              <w:jc w:val="center"/>
              <w:rPr/>
            </w:pPr>
            <w:r>
              <w:rPr/>
              <w:t xml:space="preserve">deklarowana przez producenta </w:t>
            </w:r>
          </w:p>
        </w:tc>
      </w:tr>
      <w:tr>
        <w:trPr>
          <w:trHeight w:val="739"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29" w:right="0" w:hanging="0"/>
              <w:jc w:val="left"/>
              <w:rPr/>
            </w:pPr>
            <w:r>
              <w:rPr/>
              <w:t xml:space="preserve">10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0" w:hanging="0"/>
              <w:rPr/>
            </w:pPr>
            <w:r>
              <w:rPr/>
              <w:t xml:space="preserve">Mrozoodporność według PN-EN 1367-1, kategoria nie wyższa niż: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116"/>
              <w:ind w:left="0" w:right="62" w:hanging="0"/>
              <w:jc w:val="center"/>
              <w:rPr/>
            </w:pPr>
            <w:r>
              <w:rPr/>
              <w:t>F</w:t>
            </w:r>
            <w:r>
              <w:rPr>
                <w:vertAlign w:val="subscript"/>
              </w:rPr>
              <w:t>2</w:t>
            </w:r>
          </w:p>
          <w:p>
            <w:pPr>
              <w:pStyle w:val="Normal"/>
              <w:spacing w:lineRule="auto" w:line="259" w:before="0" w:after="0"/>
              <w:ind w:left="0" w:right="2" w:hanging="0"/>
              <w:jc w:val="center"/>
              <w:rPr/>
            </w:pPr>
            <w:r>
              <w:rPr/>
            </w:r>
          </w:p>
        </w:tc>
      </w:tr>
      <w:tr>
        <w:trPr>
          <w:trHeight w:val="605"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29" w:right="0" w:hanging="0"/>
              <w:jc w:val="left"/>
              <w:rPr/>
            </w:pPr>
            <w:r>
              <w:rPr/>
              <w:t xml:space="preserve">11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w:t>
            </w:r>
            <w:r>
              <w:rPr/>
              <w:t>Zgorzel słoneczna" bazaltu według PN-EN 1367-</w:t>
            </w:r>
          </w:p>
          <w:p>
            <w:pPr>
              <w:pStyle w:val="Normal"/>
              <w:spacing w:lineRule="auto" w:line="259" w:before="0" w:after="0"/>
              <w:ind w:left="0" w:right="0" w:hanging="0"/>
              <w:jc w:val="left"/>
              <w:rPr/>
            </w:pPr>
            <w:r>
              <w:rPr/>
              <w:t xml:space="preserve">3, kategoria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SB</w:t>
            </w:r>
            <w:r>
              <w:rPr>
                <w:vertAlign w:val="subscript"/>
              </w:rPr>
              <w:t>LA</w:t>
            </w:r>
          </w:p>
        </w:tc>
      </w:tr>
      <w:tr>
        <w:trPr>
          <w:trHeight w:val="602"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29" w:right="0" w:hanging="0"/>
              <w:jc w:val="left"/>
              <w:rPr/>
            </w:pPr>
            <w:r>
              <w:rPr/>
              <w:t xml:space="preserve">12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Skład chemiczny - uproszczony opis petrograficzny według PN-EN 932-3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9" w:hanging="0"/>
              <w:jc w:val="center"/>
              <w:rPr/>
            </w:pPr>
            <w:r>
              <w:rPr/>
              <w:t xml:space="preserve">deklarowany przez producenta </w:t>
            </w:r>
          </w:p>
        </w:tc>
      </w:tr>
      <w:tr>
        <w:trPr>
          <w:trHeight w:val="605"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29" w:right="0" w:hanging="0"/>
              <w:jc w:val="left"/>
              <w:rPr/>
            </w:pPr>
            <w:r>
              <w:rPr/>
              <w:t xml:space="preserve">13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Grube zanieczyszczenia lekkie, według PN-EN 1744-1 p. 14.2; kategoria nie wyższa niż: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4" w:hanging="0"/>
              <w:jc w:val="center"/>
              <w:rPr/>
            </w:pPr>
            <w:r>
              <w:rPr/>
              <w:t>m</w:t>
            </w:r>
            <w:r>
              <w:rPr>
                <w:vertAlign w:val="subscript"/>
              </w:rPr>
              <w:t>LPC</w:t>
            </w:r>
            <w:r>
              <w:rPr/>
              <w:t xml:space="preserve">0,1 </w:t>
            </w:r>
          </w:p>
        </w:tc>
      </w:tr>
      <w:tr>
        <w:trPr>
          <w:trHeight w:val="701"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29" w:right="0" w:hanging="0"/>
              <w:jc w:val="left"/>
              <w:rPr/>
            </w:pPr>
            <w:r>
              <w:rPr/>
              <w:t xml:space="preserve">14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0" w:hanging="0"/>
              <w:rPr/>
            </w:pPr>
            <w:r>
              <w:rPr/>
              <w:t xml:space="preserve">Rozpad krzemianu dwuwapniowego w kruszywie z żużla wielkopiecowego chłodzonego powietrzem według PN-EN 1744-1 p. 19.1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2" w:hanging="0"/>
              <w:jc w:val="center"/>
              <w:rPr/>
            </w:pPr>
            <w:r>
              <w:rPr/>
              <w:t xml:space="preserve">wymagana odporność </w:t>
            </w:r>
          </w:p>
        </w:tc>
      </w:tr>
      <w:tr>
        <w:trPr>
          <w:trHeight w:val="698"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29" w:right="0" w:hanging="0"/>
              <w:jc w:val="left"/>
              <w:rPr/>
            </w:pPr>
            <w:r>
              <w:rPr/>
              <w:t xml:space="preserve">15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0" w:hanging="0"/>
              <w:rPr/>
            </w:pPr>
            <w:r>
              <w:rPr/>
              <w:t xml:space="preserve">Rozpad związków żelaza w kruszywie z żużla wielkopiecowego chłodzonego powietrzem według PN-EN 1744-1 p. 19.2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3" w:hanging="0"/>
              <w:jc w:val="center"/>
              <w:rPr/>
            </w:pPr>
            <w:r>
              <w:rPr/>
              <w:t xml:space="preserve">wymagana odporność </w:t>
            </w:r>
          </w:p>
        </w:tc>
      </w:tr>
      <w:tr>
        <w:trPr>
          <w:trHeight w:val="701" w:hRule="atLeast"/>
        </w:trPr>
        <w:tc>
          <w:tcPr>
            <w:tcW w:w="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29" w:right="0" w:hanging="0"/>
              <w:jc w:val="left"/>
              <w:rPr/>
            </w:pPr>
            <w:r>
              <w:rPr/>
              <w:t xml:space="preserve">16 </w:t>
            </w:r>
          </w:p>
        </w:tc>
        <w:tc>
          <w:tcPr>
            <w:tcW w:w="47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8" w:hanging="0"/>
              <w:rPr/>
            </w:pPr>
            <w:r>
              <w:rPr/>
              <w:t xml:space="preserve">Stałość objętości kruszywa z żużla stalowniczego według PN-EN 1744-l, p. 19.3; kategoria nie wyższa niż: </w:t>
            </w:r>
          </w:p>
        </w:tc>
        <w:tc>
          <w:tcPr>
            <w:tcW w:w="433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2" w:hanging="0"/>
              <w:jc w:val="center"/>
              <w:rPr/>
            </w:pPr>
            <w:r>
              <w:rPr/>
              <w:t>V</w:t>
            </w:r>
            <w:r>
              <w:rPr>
                <w:sz w:val="13"/>
              </w:rPr>
              <w:t>3,5</w:t>
            </w:r>
          </w:p>
        </w:tc>
      </w:tr>
    </w:tbl>
    <w:p>
      <w:pPr>
        <w:pStyle w:val="Normal"/>
        <w:spacing w:lineRule="auto" w:line="259" w:before="0" w:after="149"/>
        <w:ind w:left="262" w:right="0" w:hanging="0"/>
        <w:jc w:val="left"/>
        <w:rPr/>
      </w:pPr>
      <w:r>
        <w:rPr/>
      </w:r>
    </w:p>
    <w:p>
      <w:pPr>
        <w:pStyle w:val="Normal"/>
        <w:ind w:left="266" w:right="461" w:hanging="10"/>
        <w:rPr/>
      </w:pPr>
      <w:r>
        <w:rPr/>
        <w:t>Tablica 5</w:t>
      </w:r>
      <w:r>
        <w:rPr>
          <w:b/>
        </w:rPr>
        <w:t xml:space="preserve">. </w:t>
      </w:r>
      <w:r>
        <w:rPr/>
        <w:t xml:space="preserve">Wymagane właściwości kruszywa niełamanego drobnego lub o ciągłym uziarnieniu do D ≤ </w:t>
      </w:r>
    </w:p>
    <w:p>
      <w:pPr>
        <w:pStyle w:val="Normal"/>
        <w:ind w:left="266" w:right="461" w:hanging="10"/>
        <w:rPr/>
      </w:pPr>
      <w:r>
        <w:rPr/>
        <w:t xml:space="preserve">8 mm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6" w:type="dxa"/>
          <w:bottom w:w="5" w:type="dxa"/>
          <w:right w:w="53" w:type="dxa"/>
        </w:tblCellMar>
        <w:tblLook w:val="04a0"/>
      </w:tblPr>
      <w:tblGrid>
        <w:gridCol w:w="487"/>
        <w:gridCol w:w="4842"/>
        <w:gridCol w:w="1429"/>
        <w:gridCol w:w="2814"/>
      </w:tblGrid>
      <w:tr>
        <w:trPr>
          <w:trHeight w:val="241" w:hRule="atLeast"/>
        </w:trPr>
        <w:tc>
          <w:tcPr>
            <w:tcW w:w="487"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6" w:right="0" w:hanging="0"/>
              <w:jc w:val="left"/>
              <w:rPr/>
            </w:pPr>
            <w:r>
              <w:rPr/>
              <w:t xml:space="preserve">Lp </w:t>
            </w:r>
          </w:p>
          <w:p>
            <w:pPr>
              <w:pStyle w:val="Normal"/>
              <w:spacing w:lineRule="auto" w:line="259" w:before="0" w:after="0"/>
              <w:ind w:left="1" w:right="0" w:hanging="0"/>
              <w:jc w:val="center"/>
              <w:rPr/>
            </w:pPr>
            <w:r>
              <w:rPr/>
            </w:r>
          </w:p>
        </w:tc>
        <w:tc>
          <w:tcPr>
            <w:tcW w:w="484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9" w:hanging="0"/>
              <w:jc w:val="center"/>
              <w:rPr/>
            </w:pPr>
            <w:r>
              <w:rPr/>
              <w:t xml:space="preserve">Właściwości kruszywa </w:t>
            </w:r>
          </w:p>
          <w:p>
            <w:pPr>
              <w:pStyle w:val="Normal"/>
              <w:spacing w:lineRule="auto" w:line="259" w:before="0" w:after="0"/>
              <w:ind w:left="2" w:right="0" w:hanging="0"/>
              <w:jc w:val="center"/>
              <w:rPr/>
            </w:pPr>
            <w:r>
              <w:rPr/>
            </w:r>
          </w:p>
        </w:tc>
        <w:tc>
          <w:tcPr>
            <w:tcW w:w="42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4" w:hanging="0"/>
              <w:jc w:val="center"/>
              <w:rPr/>
            </w:pPr>
            <w:r>
              <w:rPr/>
              <w:t xml:space="preserve">Wymagania </w:t>
            </w:r>
          </w:p>
        </w:tc>
      </w:tr>
      <w:tr>
        <w:trPr>
          <w:trHeight w:val="374" w:hRule="atLeast"/>
        </w:trPr>
        <w:tc>
          <w:tcPr>
            <w:tcW w:w="487"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484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55" w:hanging="0"/>
              <w:jc w:val="center"/>
              <w:rPr/>
            </w:pPr>
            <w:r>
              <w:rPr/>
              <w:t xml:space="preserve">KR1 – KR2 </w:t>
            </w:r>
          </w:p>
        </w:tc>
        <w:tc>
          <w:tcPr>
            <w:tcW w:w="28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tabs>
                <w:tab w:val="center" w:pos="2003" w:leader="none"/>
              </w:tabs>
              <w:spacing w:lineRule="auto" w:line="259" w:before="0" w:after="0"/>
              <w:ind w:left="0" w:right="0" w:hanging="0"/>
              <w:jc w:val="left"/>
              <w:rPr/>
            </w:pPr>
            <w:r>
              <w:rPr/>
              <w:t xml:space="preserve">KR3 – KR4 </w:t>
              <w:tab/>
              <w:t xml:space="preserve">KR5-KR6 </w:t>
            </w:r>
          </w:p>
        </w:tc>
      </w:tr>
      <w:tr>
        <w:trPr>
          <w:trHeight w:val="605"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8" w:hanging="0"/>
              <w:jc w:val="center"/>
              <w:rPr/>
            </w:pPr>
            <w:r>
              <w:rPr/>
              <w:t xml:space="preserve">1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rPr/>
            </w:pPr>
            <w:r>
              <w:rPr/>
              <w:t xml:space="preserve">Uziarnienie według PN-EN 933-1, kategoria nie niższa niż: </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0" w:hanging="0"/>
              <w:jc w:val="center"/>
              <w:rPr/>
            </w:pPr>
            <w:r>
              <w:rPr/>
              <w:t>G</w:t>
            </w:r>
            <w:r>
              <w:rPr>
                <w:vertAlign w:val="subscript"/>
              </w:rPr>
              <w:t>F</w:t>
            </w:r>
            <w:r>
              <w:rPr/>
              <w:t>85 lub G</w:t>
            </w:r>
            <w:r>
              <w:rPr>
                <w:vertAlign w:val="subscript"/>
              </w:rPr>
              <w:t>A</w:t>
            </w:r>
            <w:r>
              <w:rPr/>
              <w:t xml:space="preserve">85 </w:t>
            </w:r>
          </w:p>
        </w:tc>
        <w:tc>
          <w:tcPr>
            <w:tcW w:w="28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9" w:hanging="0"/>
              <w:jc w:val="center"/>
              <w:rPr/>
            </w:pPr>
            <w:r>
              <w:rPr/>
              <w:t>G</w:t>
            </w:r>
            <w:r>
              <w:rPr>
                <w:vertAlign w:val="subscript"/>
              </w:rPr>
              <w:t>F</w:t>
            </w:r>
            <w:r>
              <w:rPr/>
              <w:t xml:space="preserve">85 </w:t>
            </w:r>
          </w:p>
        </w:tc>
      </w:tr>
      <w:tr>
        <w:trPr>
          <w:trHeight w:val="468"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8" w:hanging="0"/>
              <w:jc w:val="center"/>
              <w:rPr/>
            </w:pPr>
            <w:r>
              <w:rPr/>
              <w:t xml:space="preserve">2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rPr/>
            </w:pPr>
            <w:r>
              <w:rPr/>
              <w:t xml:space="preserve">Tolerancja uziarnienia; odchylenia nie większe niż według kategorii: </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9" w:hanging="0"/>
              <w:jc w:val="center"/>
              <w:rPr/>
            </w:pPr>
            <w:r>
              <w:rPr/>
              <w:t>G</w:t>
            </w:r>
            <w:r>
              <w:rPr>
                <w:vertAlign w:val="subscript"/>
              </w:rPr>
              <w:t>TC</w:t>
            </w:r>
            <w:r>
              <w:rPr/>
              <w:t xml:space="preserve">NR </w:t>
            </w:r>
          </w:p>
        </w:tc>
        <w:tc>
          <w:tcPr>
            <w:tcW w:w="28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9" w:hanging="0"/>
              <w:jc w:val="center"/>
              <w:rPr/>
            </w:pPr>
            <w:r>
              <w:rPr/>
              <w:t>G</w:t>
            </w:r>
            <w:r>
              <w:rPr>
                <w:vertAlign w:val="subscript"/>
              </w:rPr>
              <w:t>TC</w:t>
            </w:r>
            <w:r>
              <w:rPr/>
              <w:t xml:space="preserve">20 </w:t>
            </w:r>
          </w:p>
        </w:tc>
      </w:tr>
      <w:tr>
        <w:trPr>
          <w:trHeight w:val="470"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8" w:hanging="0"/>
              <w:jc w:val="center"/>
              <w:rPr/>
            </w:pPr>
            <w:r>
              <w:rPr/>
              <w:t xml:space="preserve">3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rPr/>
            </w:pPr>
            <w:r>
              <w:rPr/>
              <w:t xml:space="preserve">Zawartość pyłów według PN-EN 933-1; kategoria nie wyższa niż: </w:t>
            </w:r>
          </w:p>
        </w:tc>
        <w:tc>
          <w:tcPr>
            <w:tcW w:w="42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54" w:hanging="0"/>
              <w:jc w:val="center"/>
              <w:rPr/>
            </w:pPr>
            <w:r>
              <w:rPr>
                <w:rFonts w:eastAsia="Segoe UI Symbol" w:cs="Segoe UI Symbol" w:ascii="Segoe UI Symbol" w:hAnsi="Segoe UI Symbol"/>
              </w:rPr>
              <w:t></w:t>
            </w:r>
            <w:r>
              <w:rPr>
                <w:vertAlign w:val="subscript"/>
              </w:rPr>
              <w:t>3</w:t>
            </w:r>
          </w:p>
        </w:tc>
      </w:tr>
      <w:tr>
        <w:trPr>
          <w:trHeight w:val="605"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8" w:hanging="0"/>
              <w:jc w:val="center"/>
              <w:rPr/>
            </w:pPr>
            <w:r>
              <w:rPr/>
              <w:t xml:space="preserve">4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0" w:hanging="0"/>
              <w:rPr/>
            </w:pPr>
            <w:r>
              <w:rPr/>
              <w:t xml:space="preserve">Jakość pyłów według PN-EN 933-9; kategoria nie wyższa niż </w:t>
            </w:r>
          </w:p>
        </w:tc>
        <w:tc>
          <w:tcPr>
            <w:tcW w:w="42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8" w:hanging="0"/>
              <w:jc w:val="center"/>
              <w:rPr/>
            </w:pPr>
            <w:r>
              <w:rPr/>
              <w:t>MB</w:t>
            </w:r>
            <w:r>
              <w:rPr>
                <w:vertAlign w:val="subscript"/>
              </w:rPr>
              <w:t>F</w:t>
            </w:r>
            <w:r>
              <w:rPr/>
              <w:t xml:space="preserve">10 </w:t>
            </w:r>
          </w:p>
        </w:tc>
      </w:tr>
      <w:tr>
        <w:trPr>
          <w:trHeight w:val="1064"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8" w:hanging="0"/>
              <w:jc w:val="center"/>
              <w:rPr/>
            </w:pPr>
            <w:r>
              <w:rPr/>
              <w:t xml:space="preserve">5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60" w:hanging="0"/>
              <w:rPr/>
            </w:pPr>
            <w:r>
              <w:rPr/>
              <w:t xml:space="preserve">Kanciastość kruszywa drobnego lub kruszywa 0/2 wydzielonego z kruszywa o ciągłym uziarnieniu według PN-EN 933-6, rozdz. 8, kategoria nie niższa niż: </w:t>
            </w:r>
          </w:p>
        </w:tc>
        <w:tc>
          <w:tcPr>
            <w:tcW w:w="42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4" w:hanging="0"/>
              <w:jc w:val="center"/>
              <w:rPr/>
            </w:pPr>
            <w:r>
              <w:rPr/>
              <w:t>E</w:t>
            </w:r>
            <w:r>
              <w:rPr>
                <w:sz w:val="13"/>
              </w:rPr>
              <w:t>csDeklarowana</w:t>
            </w:r>
          </w:p>
        </w:tc>
      </w:tr>
      <w:tr>
        <w:trPr>
          <w:trHeight w:val="605"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8" w:hanging="0"/>
              <w:jc w:val="center"/>
              <w:rPr/>
            </w:pPr>
            <w:r>
              <w:rPr/>
              <w:t xml:space="preserve">6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0" w:hanging="0"/>
              <w:rPr/>
            </w:pPr>
            <w:r>
              <w:rPr/>
              <w:t xml:space="preserve">Gęstość ziaren według PN-EN 1097-6, rozdz. 7, 8 lub 9 </w:t>
            </w:r>
          </w:p>
        </w:tc>
        <w:tc>
          <w:tcPr>
            <w:tcW w:w="42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64" w:hanging="0"/>
              <w:jc w:val="center"/>
              <w:rPr/>
            </w:pPr>
            <w:r>
              <w:rPr/>
              <w:t xml:space="preserve">deklarowana przez producenta </w:t>
            </w:r>
          </w:p>
        </w:tc>
      </w:tr>
      <w:tr>
        <w:trPr>
          <w:trHeight w:val="603"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9" w:hanging="0"/>
              <w:jc w:val="center"/>
              <w:rPr/>
            </w:pPr>
            <w:r>
              <w:rPr/>
              <w:t xml:space="preserve">7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0" w:hanging="0"/>
              <w:rPr/>
            </w:pPr>
            <w:r>
              <w:rPr/>
              <w:t xml:space="preserve">Nasiąkliwość według PN-EN 1097-6, rozdz. 7, 8 lub 9 </w:t>
            </w:r>
          </w:p>
        </w:tc>
        <w:tc>
          <w:tcPr>
            <w:tcW w:w="42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7" w:hanging="0"/>
              <w:jc w:val="center"/>
              <w:rPr/>
            </w:pPr>
            <w:r>
              <w:rPr/>
              <w:t>WA</w:t>
            </w:r>
            <w:r>
              <w:rPr>
                <w:vertAlign w:val="subscript"/>
              </w:rPr>
              <w:t>24</w:t>
            </w:r>
            <w:r>
              <w:rPr/>
              <w:t xml:space="preserve">2 </w:t>
            </w:r>
          </w:p>
        </w:tc>
      </w:tr>
      <w:tr>
        <w:trPr>
          <w:trHeight w:val="605" w:hRule="atLeast"/>
        </w:trPr>
        <w:tc>
          <w:tcPr>
            <w:tcW w:w="4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9" w:hanging="0"/>
              <w:jc w:val="center"/>
              <w:rPr/>
            </w:pPr>
            <w:r>
              <w:rPr/>
              <w:t xml:space="preserve">8 </w:t>
            </w:r>
          </w:p>
        </w:tc>
        <w:tc>
          <w:tcPr>
            <w:tcW w:w="4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bottom"/>
          </w:tcPr>
          <w:p>
            <w:pPr>
              <w:pStyle w:val="Normal"/>
              <w:spacing w:lineRule="auto" w:line="259" w:before="0" w:after="0"/>
              <w:ind w:left="0" w:right="0" w:hanging="0"/>
              <w:rPr/>
            </w:pPr>
            <w:r>
              <w:rPr/>
              <w:t xml:space="preserve">Grube zanieczyszczenia lekkie, według PN-EN 1744-1 p. 14.2; kategoria nie wyższa niż: </w:t>
            </w:r>
          </w:p>
        </w:tc>
        <w:tc>
          <w:tcPr>
            <w:tcW w:w="42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9" w:hanging="0"/>
              <w:jc w:val="center"/>
              <w:rPr/>
            </w:pPr>
            <w:r>
              <w:rPr/>
              <w:t>m</w:t>
            </w:r>
            <w:r>
              <w:rPr>
                <w:vertAlign w:val="subscript"/>
              </w:rPr>
              <w:t>LPC</w:t>
            </w:r>
            <w:r>
              <w:rPr/>
              <w:t xml:space="preserve">0,1 </w:t>
            </w:r>
          </w:p>
        </w:tc>
      </w:tr>
    </w:tbl>
    <w:p>
      <w:pPr>
        <w:pStyle w:val="Normal"/>
        <w:spacing w:lineRule="auto" w:line="259" w:before="0" w:after="120"/>
        <w:ind w:left="262" w:right="0" w:hanging="0"/>
        <w:jc w:val="left"/>
        <w:rPr/>
      </w:pPr>
      <w:r>
        <w:rPr/>
      </w:r>
    </w:p>
    <w:p>
      <w:pPr>
        <w:pStyle w:val="Normal"/>
        <w:ind w:left="266" w:right="461" w:hanging="10"/>
        <w:rPr/>
      </w:pPr>
      <w:r>
        <w:rPr/>
        <w:t xml:space="preserve">Tablica 6. Wymagane właściwości kruszywa łamanego drobnego lub o ciągłym uziarnieniu do D ≤ 8 mm  </w:t>
      </w:r>
    </w:p>
    <w:tbl>
      <w:tblPr>
        <w:tblStyle w:val="TableGrid"/>
        <w:tblW w:w="9285"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98" w:type="dxa"/>
          <w:bottom w:w="6" w:type="dxa"/>
          <w:right w:w="55" w:type="dxa"/>
        </w:tblCellMar>
        <w:tblLook w:val="04a0"/>
      </w:tblPr>
      <w:tblGrid>
        <w:gridCol w:w="583"/>
        <w:gridCol w:w="4427"/>
        <w:gridCol w:w="1637"/>
        <w:gridCol w:w="1392"/>
        <w:gridCol w:w="1246"/>
      </w:tblGrid>
      <w:tr>
        <w:trPr>
          <w:trHeight w:val="240" w:hRule="atLeast"/>
        </w:trPr>
        <w:tc>
          <w:tcPr>
            <w:tcW w:w="583"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2" w:right="0" w:hanging="0"/>
              <w:jc w:val="left"/>
              <w:rPr/>
            </w:pPr>
            <w:r>
              <w:rPr/>
              <w:t xml:space="preserve">Lp </w:t>
            </w:r>
          </w:p>
          <w:p>
            <w:pPr>
              <w:pStyle w:val="Normal"/>
              <w:spacing w:lineRule="auto" w:line="259" w:before="0" w:after="0"/>
              <w:ind w:left="0" w:right="0" w:hanging="0"/>
              <w:jc w:val="center"/>
              <w:rPr/>
            </w:pPr>
            <w:r>
              <w:rPr/>
            </w:r>
          </w:p>
        </w:tc>
        <w:tc>
          <w:tcPr>
            <w:tcW w:w="4427"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9" w:hanging="0"/>
              <w:jc w:val="center"/>
              <w:rPr/>
            </w:pPr>
            <w:r>
              <w:rPr/>
              <w:t xml:space="preserve">Właściwości kruszywa </w:t>
            </w:r>
          </w:p>
          <w:p>
            <w:pPr>
              <w:pStyle w:val="Normal"/>
              <w:spacing w:lineRule="auto" w:line="259" w:before="0" w:after="0"/>
              <w:ind w:left="2" w:right="0" w:hanging="0"/>
              <w:jc w:val="center"/>
              <w:rPr/>
            </w:pPr>
            <w:r>
              <w:rPr/>
            </w:r>
          </w:p>
        </w:tc>
        <w:tc>
          <w:tcPr>
            <w:tcW w:w="42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8" w:hanging="0"/>
              <w:jc w:val="center"/>
              <w:rPr/>
            </w:pPr>
            <w:r>
              <w:rPr/>
              <w:t xml:space="preserve">Wymagania </w:t>
            </w:r>
          </w:p>
        </w:tc>
      </w:tr>
      <w:tr>
        <w:trPr>
          <w:trHeight w:val="374" w:hRule="atLeast"/>
        </w:trPr>
        <w:tc>
          <w:tcPr>
            <w:tcW w:w="58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4427"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16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9" w:hanging="0"/>
              <w:jc w:val="center"/>
              <w:rPr/>
            </w:pPr>
            <w:r>
              <w:rPr/>
              <w:t xml:space="preserve">KR1 – KR2 </w:t>
            </w:r>
          </w:p>
        </w:tc>
        <w:tc>
          <w:tcPr>
            <w:tcW w:w="13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89" w:right="0" w:hanging="0"/>
              <w:jc w:val="left"/>
              <w:rPr/>
            </w:pPr>
            <w:r>
              <w:rPr/>
              <w:t xml:space="preserve">KR3 – KR4 </w:t>
            </w:r>
          </w:p>
        </w:tc>
        <w:tc>
          <w:tcPr>
            <w:tcW w:w="1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0" w:hanging="0"/>
              <w:jc w:val="center"/>
              <w:rPr/>
            </w:pPr>
            <w:r>
              <w:rPr/>
              <w:t xml:space="preserve">WMS </w:t>
            </w:r>
          </w:p>
        </w:tc>
      </w:tr>
      <w:tr>
        <w:trPr>
          <w:trHeight w:val="471"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 xml:space="preserve">1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rPr/>
            </w:pPr>
            <w:r>
              <w:rPr/>
              <w:t xml:space="preserve">Uziarnienie według PN-EN 933-1, kategoria nie niższa niż: </w:t>
            </w:r>
          </w:p>
        </w:tc>
        <w:tc>
          <w:tcPr>
            <w:tcW w:w="42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G</w:t>
            </w:r>
            <w:r>
              <w:rPr>
                <w:vertAlign w:val="subscript"/>
              </w:rPr>
              <w:t>F</w:t>
            </w:r>
            <w:r>
              <w:rPr/>
              <w:t>85 lub G</w:t>
            </w:r>
            <w:r>
              <w:rPr>
                <w:vertAlign w:val="subscript"/>
              </w:rPr>
              <w:t>A</w:t>
            </w:r>
            <w:r>
              <w:rPr/>
              <w:t xml:space="preserve">85 </w:t>
            </w:r>
          </w:p>
        </w:tc>
      </w:tr>
      <w:tr>
        <w:trPr>
          <w:trHeight w:val="470"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 xml:space="preserve">2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rPr/>
            </w:pPr>
            <w:r>
              <w:rPr/>
              <w:t xml:space="preserve">Tolerancja uziarnienia; odchylenia nie większe niż według kategorii: </w:t>
            </w:r>
          </w:p>
        </w:tc>
        <w:tc>
          <w:tcPr>
            <w:tcW w:w="16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4" w:hanging="0"/>
              <w:jc w:val="center"/>
              <w:rPr/>
            </w:pPr>
            <w:r>
              <w:rPr/>
              <w:t>G</w:t>
            </w:r>
            <w:r>
              <w:rPr>
                <w:vertAlign w:val="subscript"/>
              </w:rPr>
              <w:t>TC</w:t>
            </w:r>
            <w:r>
              <w:rPr/>
              <w:t xml:space="preserve">NR </w:t>
            </w:r>
          </w:p>
        </w:tc>
        <w:tc>
          <w:tcPr>
            <w:tcW w:w="26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1" w:hanging="0"/>
              <w:jc w:val="center"/>
              <w:rPr/>
            </w:pPr>
            <w:r>
              <w:rPr/>
              <w:t>G</w:t>
            </w:r>
            <w:r>
              <w:rPr>
                <w:vertAlign w:val="subscript"/>
              </w:rPr>
              <w:t>TC</w:t>
            </w:r>
            <w:r>
              <w:rPr/>
              <w:t xml:space="preserve">20 </w:t>
            </w:r>
          </w:p>
        </w:tc>
      </w:tr>
      <w:tr>
        <w:trPr>
          <w:trHeight w:val="470"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 xml:space="preserve">3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Zawartość pyłów według PN-EN 933-1; kategoria nie wyższa niż: </w:t>
            </w:r>
          </w:p>
        </w:tc>
        <w:tc>
          <w:tcPr>
            <w:tcW w:w="42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8" w:hanging="0"/>
              <w:jc w:val="center"/>
              <w:rPr/>
            </w:pPr>
            <w:r>
              <w:rPr>
                <w:rFonts w:eastAsia="Segoe UI Symbol" w:cs="Segoe UI Symbol" w:ascii="Segoe UI Symbol" w:hAnsi="Segoe UI Symbol"/>
              </w:rPr>
              <w:t></w:t>
            </w:r>
            <w:r>
              <w:rPr>
                <w:sz w:val="13"/>
              </w:rPr>
              <w:t>16</w:t>
            </w:r>
          </w:p>
        </w:tc>
      </w:tr>
      <w:tr>
        <w:trPr>
          <w:trHeight w:val="602"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 xml:space="preserve">4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Jakość pyłów według PN-EN 933-9; kategoria nie wyższa niż </w:t>
            </w:r>
          </w:p>
        </w:tc>
        <w:tc>
          <w:tcPr>
            <w:tcW w:w="42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MB</w:t>
            </w:r>
            <w:r>
              <w:rPr>
                <w:vertAlign w:val="subscript"/>
              </w:rPr>
              <w:t>F</w:t>
            </w:r>
            <w:r>
              <w:rPr/>
              <w:t xml:space="preserve">10 </w:t>
            </w:r>
          </w:p>
        </w:tc>
      </w:tr>
      <w:tr>
        <w:trPr>
          <w:trHeight w:val="1066"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0" w:hanging="0"/>
              <w:jc w:val="center"/>
              <w:rPr/>
            </w:pPr>
            <w:r>
              <w:rPr/>
              <w:t xml:space="preserve">5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64" w:hanging="0"/>
              <w:rPr/>
            </w:pPr>
            <w:r>
              <w:rPr/>
              <w:t xml:space="preserve">Kanciastość kruszywa drobnego lub kruszywa 0/2 wydzielonego z kruszywa o ciągłym uziarnieniu według PN-EN 933-6, rozdz. 8, kategoria nie niższa niż: </w:t>
            </w:r>
          </w:p>
        </w:tc>
        <w:tc>
          <w:tcPr>
            <w:tcW w:w="16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61" w:hanging="0"/>
              <w:jc w:val="center"/>
              <w:rPr/>
            </w:pPr>
            <w:r>
              <w:rPr/>
              <w:t>E</w:t>
            </w:r>
            <w:r>
              <w:rPr>
                <w:sz w:val="13"/>
              </w:rPr>
              <w:t>csDeklarowana</w:t>
            </w:r>
          </w:p>
        </w:tc>
        <w:tc>
          <w:tcPr>
            <w:tcW w:w="26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8" w:hanging="0"/>
              <w:jc w:val="center"/>
              <w:rPr/>
            </w:pPr>
            <w:r>
              <w:rPr/>
              <w:t>E</w:t>
            </w:r>
            <w:r>
              <w:rPr>
                <w:vertAlign w:val="subscript"/>
              </w:rPr>
              <w:t>cs</w:t>
            </w:r>
            <w:r>
              <w:rPr/>
              <w:t xml:space="preserve">30 </w:t>
            </w:r>
          </w:p>
        </w:tc>
      </w:tr>
      <w:tr>
        <w:trPr>
          <w:trHeight w:val="603"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 xml:space="preserve">6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Gęstość ziaren według PN-EN 1097-6, rozdz. 7, 8 lub 9 </w:t>
            </w:r>
          </w:p>
        </w:tc>
        <w:tc>
          <w:tcPr>
            <w:tcW w:w="42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8" w:hanging="0"/>
              <w:jc w:val="center"/>
              <w:rPr/>
            </w:pPr>
            <w:r>
              <w:rPr/>
              <w:t xml:space="preserve">deklarowana przez producenta </w:t>
            </w:r>
          </w:p>
        </w:tc>
      </w:tr>
      <w:tr>
        <w:trPr>
          <w:trHeight w:val="605"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 xml:space="preserve">7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 xml:space="preserve">Nasiąkliwość według PN-EN 1097-6, rozdz. 7, 8 lub 9 </w:t>
            </w:r>
          </w:p>
        </w:tc>
        <w:tc>
          <w:tcPr>
            <w:tcW w:w="42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WA</w:t>
            </w:r>
            <w:r>
              <w:rPr>
                <w:vertAlign w:val="subscript"/>
              </w:rPr>
              <w:t>24</w:t>
            </w:r>
            <w:r>
              <w:rPr/>
              <w:t xml:space="preserve">2 </w:t>
            </w:r>
          </w:p>
        </w:tc>
      </w:tr>
      <w:tr>
        <w:trPr>
          <w:trHeight w:val="605" w:hRule="atLeast"/>
        </w:trPr>
        <w:tc>
          <w:tcPr>
            <w:tcW w:w="5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 xml:space="preserve">8 </w:t>
            </w:r>
          </w:p>
        </w:tc>
        <w:tc>
          <w:tcPr>
            <w:tcW w:w="4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Grube zanieczyszczenia lekkie, według PNEN 1744-1 p. 14.2; kategoria nie wyższa niż: </w:t>
            </w:r>
          </w:p>
        </w:tc>
        <w:tc>
          <w:tcPr>
            <w:tcW w:w="42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3" w:hanging="0"/>
              <w:jc w:val="center"/>
              <w:rPr/>
            </w:pPr>
            <w:r>
              <w:rPr/>
              <w:t>m</w:t>
            </w:r>
            <w:r>
              <w:rPr>
                <w:vertAlign w:val="subscript"/>
              </w:rPr>
              <w:t>LPC</w:t>
            </w:r>
            <w:r>
              <w:rPr/>
              <w:t xml:space="preserve">0,1 </w:t>
            </w:r>
          </w:p>
        </w:tc>
      </w:tr>
    </w:tbl>
    <w:p>
      <w:pPr>
        <w:pStyle w:val="Normal"/>
        <w:spacing w:before="0" w:after="137"/>
        <w:ind w:left="266" w:right="461" w:hanging="10"/>
        <w:rPr/>
      </w:pPr>
      <w:r>
        <w:rPr/>
        <w:t xml:space="preserve">Jeśli stosowana jest mieszanka kruszywa drobnego niełamanego i łamanego, to należy przyjąć proporcję kruszywa łamanego do niełamanego co najmniej 50/50. </w:t>
      </w:r>
    </w:p>
    <w:p>
      <w:pPr>
        <w:pStyle w:val="Normal"/>
        <w:ind w:left="266" w:right="461" w:hanging="10"/>
        <w:rPr/>
      </w:pPr>
      <w:r>
        <w:rPr/>
        <w:t xml:space="preserve">Tablica 7. Uziarnienie wypełniacza dodanego oznaczone wg PN-EN 933-10 </w:t>
      </w:r>
    </w:p>
    <w:p>
      <w:pPr>
        <w:pStyle w:val="Normal"/>
        <w:spacing w:lineRule="auto" w:line="259" w:before="0" w:after="39"/>
        <w:ind w:left="149" w:right="0" w:hanging="0"/>
        <w:jc w:val="left"/>
        <w:rPr/>
      </w:pPr>
      <w:r>
        <w:rPr/>
        <mc:AlternateContent>
          <mc:Choice Requires="wpg">
            <w:drawing>
              <wp:anchor behindDoc="1" distT="0" distB="0" distL="114300" distR="114300" simplePos="0" locked="0" layoutInCell="1" allowOverlap="1" relativeHeight="2">
                <wp:simplePos x="0" y="0"/>
                <wp:positionH relativeFrom="column">
                  <wp:posOffset>57785</wp:posOffset>
                </wp:positionH>
                <wp:positionV relativeFrom="paragraph">
                  <wp:posOffset>92710</wp:posOffset>
                </wp:positionV>
                <wp:extent cx="6028055" cy="1995805"/>
                <wp:effectExtent l="0" t="0" r="0" b="0"/>
                <wp:wrapNone/>
                <wp:docPr id="1" name="shape_0"/>
                <a:graphic xmlns:a="http://schemas.openxmlformats.org/drawingml/2006/main">
                  <a:graphicData uri="http://schemas.microsoft.com/office/word/2010/wordprocessingGroup">
                    <wpg:wgp>
                      <wpg:cNvGrpSpPr/>
                      <wpg:grpSpPr>
                        <a:xfrm>
                          <a:off x="0" y="0"/>
                          <a:ext cx="6027480" cy="1995120"/>
                        </a:xfrm>
                      </wpg:grpSpPr>
                      <wps:wsp>
                        <wps:cNvSpPr txBox="1"/>
                        <wps:spPr>
                          <a:xfrm>
                            <a:off x="78840" y="0"/>
                            <a:ext cx="70164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Sito # [mm]</w:t>
                              </w:r>
                            </w:p>
                          </w:txbxContent>
                        </wps:txbx>
                        <wps:bodyPr wrap="square">
                          <a:spAutoFit/>
                        </wps:bodyPr>
                      </wps:wsp>
                      <wps:wsp>
                        <wps:cNvSpPr txBox="1"/>
                        <wps:spPr>
                          <a:xfrm>
                            <a:off x="608400" y="0"/>
                            <a:ext cx="36360" cy="182160"/>
                          </a:xfrm>
                          <a:prstGeom prst="rect">
                            <a:avLst/>
                          </a:prstGeom>
                          <a:noFill/>
                          <a:ln>
                            <a:noFill/>
                          </a:ln>
                        </wps:spPr>
                        <wps:bodyPr/>
                      </wps:wsp>
                      <wps:wsp>
                        <wps:cNvSpPr txBox="1"/>
                        <wps:spPr>
                          <a:xfrm>
                            <a:off x="2347560" y="0"/>
                            <a:ext cx="112392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Przesiew [%(mm)]</w:t>
                              </w:r>
                            </w:p>
                          </w:txbxContent>
                        </wps:txbx>
                        <wps:bodyPr wrap="square">
                          <a:spAutoFit/>
                        </wps:bodyPr>
                      </wps:wsp>
                      <wps:wsp>
                        <wps:cNvSpPr txBox="1"/>
                        <wps:spPr>
                          <a:xfrm>
                            <a:off x="3195360" y="0"/>
                            <a:ext cx="36360" cy="182160"/>
                          </a:xfrm>
                          <a:prstGeom prst="rect">
                            <a:avLst/>
                          </a:prstGeom>
                          <a:noFill/>
                          <a:ln>
                            <a:noFill/>
                          </a:ln>
                        </wps:spPr>
                        <wps:bodyPr/>
                      </wps:wsp>
                      <wps:wsp>
                        <wps:cNvSpPr txBox="1"/>
                        <wps:spPr>
                          <a:xfrm>
                            <a:off x="863640" y="254520"/>
                            <a:ext cx="213408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Ogólny zakres dla poszczególnych</w:t>
                              </w:r>
                            </w:p>
                          </w:txbxContent>
                        </wps:txbx>
                        <wps:bodyPr wrap="square">
                          <a:spAutoFit/>
                        </wps:bodyPr>
                      </wps:wsp>
                      <wps:wsp>
                        <wps:cNvSpPr txBox="1"/>
                        <wps:spPr>
                          <a:xfrm>
                            <a:off x="2473920" y="232920"/>
                            <a:ext cx="36720" cy="182160"/>
                          </a:xfrm>
                          <a:prstGeom prst="rect">
                            <a:avLst/>
                          </a:prstGeom>
                          <a:noFill/>
                          <a:ln>
                            <a:noFill/>
                          </a:ln>
                        </wps:spPr>
                        <wps:bodyPr/>
                      </wps:wsp>
                      <wps:wsp>
                        <wps:cNvSpPr txBox="1"/>
                        <wps:spPr>
                          <a:xfrm>
                            <a:off x="1473120" y="397440"/>
                            <a:ext cx="51948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wyników</w:t>
                              </w:r>
                            </w:p>
                          </w:txbxContent>
                        </wps:txbx>
                        <wps:bodyPr wrap="square">
                          <a:spAutoFit/>
                        </wps:bodyPr>
                      </wps:wsp>
                      <wps:wsp>
                        <wps:cNvSpPr txBox="1"/>
                        <wps:spPr>
                          <a:xfrm>
                            <a:off x="1866960" y="375840"/>
                            <a:ext cx="36360" cy="182160"/>
                          </a:xfrm>
                          <a:prstGeom prst="rect">
                            <a:avLst/>
                          </a:prstGeom>
                          <a:noFill/>
                          <a:ln>
                            <a:noFill/>
                          </a:ln>
                        </wps:spPr>
                        <wps:bodyPr/>
                      </wps:wsp>
                      <wps:wsp>
                        <wps:cNvSpPr txBox="1"/>
                        <wps:spPr>
                          <a:xfrm>
                            <a:off x="2662560" y="232920"/>
                            <a:ext cx="278064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 xml:space="preserve">Maksymalny zakres uziarnienia deklarowany </w:t>
                              </w:r>
                            </w:p>
                          </w:txbxContent>
                        </wps:txbx>
                        <wps:bodyPr wrap="square">
                          <a:spAutoFit/>
                        </wps:bodyPr>
                      </wps:wsp>
                      <wps:wsp>
                        <wps:cNvSpPr txBox="1"/>
                        <wps:spPr>
                          <a:xfrm>
                            <a:off x="3272760" y="375840"/>
                            <a:ext cx="112320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przez producenta*</w:t>
                              </w:r>
                            </w:p>
                          </w:txbxContent>
                        </wps:txbx>
                        <wps:bodyPr wrap="square">
                          <a:spAutoFit/>
                        </wps:bodyPr>
                      </wps:wsp>
                      <wps:wsp>
                        <wps:cNvSpPr txBox="1"/>
                        <wps:spPr>
                          <a:xfrm>
                            <a:off x="4122360" y="375840"/>
                            <a:ext cx="36360" cy="182160"/>
                          </a:xfrm>
                          <a:prstGeom prst="rect">
                            <a:avLst/>
                          </a:prstGeom>
                          <a:noFill/>
                          <a:ln>
                            <a:noFill/>
                          </a:ln>
                        </wps:spPr>
                        <wps:bodyPr/>
                      </wps:wsp>
                      <wps:wsp>
                        <wps:cNvSpPr txBox="1"/>
                        <wps:spPr>
                          <a:xfrm>
                            <a:off x="315000" y="609120"/>
                            <a:ext cx="7380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2</w:t>
                              </w:r>
                            </w:p>
                          </w:txbxContent>
                        </wps:txbx>
                        <wps:bodyPr wrap="square">
                          <a:spAutoFit/>
                        </wps:bodyPr>
                      </wps:wsp>
                      <wps:wsp>
                        <wps:cNvSpPr txBox="1"/>
                        <wps:spPr>
                          <a:xfrm>
                            <a:off x="374040" y="609120"/>
                            <a:ext cx="36360" cy="182160"/>
                          </a:xfrm>
                          <a:prstGeom prst="rect">
                            <a:avLst/>
                          </a:prstGeom>
                          <a:noFill/>
                          <a:ln>
                            <a:noFill/>
                          </a:ln>
                        </wps:spPr>
                        <wps:bodyPr/>
                      </wps:wsp>
                      <wps:wsp>
                        <wps:cNvSpPr txBox="1"/>
                        <wps:spPr>
                          <a:xfrm>
                            <a:off x="1582560" y="609120"/>
                            <a:ext cx="226800" cy="55872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100</w:t>
                              </w:r>
                            </w:p>
                          </w:txbxContent>
                        </wps:txbx>
                        <wps:bodyPr wrap="square">
                          <a:spAutoFit/>
                        </wps:bodyPr>
                      </wps:wsp>
                      <wps:wsp>
                        <wps:cNvSpPr txBox="1"/>
                        <wps:spPr>
                          <a:xfrm>
                            <a:off x="1756440" y="609120"/>
                            <a:ext cx="36360" cy="182160"/>
                          </a:xfrm>
                          <a:prstGeom prst="rect">
                            <a:avLst/>
                          </a:prstGeom>
                          <a:noFill/>
                          <a:ln>
                            <a:noFill/>
                          </a:ln>
                        </wps:spPr>
                        <wps:bodyPr/>
                      </wps:wsp>
                      <wps:wsp>
                        <wps:cNvSpPr txBox="1"/>
                        <wps:spPr>
                          <a:xfrm>
                            <a:off x="3679920" y="609120"/>
                            <a:ext cx="4320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w:t>
                              </w:r>
                            </w:p>
                          </w:txbxContent>
                        </wps:txbx>
                        <wps:bodyPr wrap="square">
                          <a:spAutoFit/>
                        </wps:bodyPr>
                      </wps:wsp>
                      <wps:wsp>
                        <wps:cNvSpPr txBox="1"/>
                        <wps:spPr>
                          <a:xfrm>
                            <a:off x="3714840" y="609120"/>
                            <a:ext cx="36360" cy="182160"/>
                          </a:xfrm>
                          <a:prstGeom prst="rect">
                            <a:avLst/>
                          </a:prstGeom>
                          <a:noFill/>
                          <a:ln>
                            <a:noFill/>
                          </a:ln>
                        </wps:spPr>
                        <wps:bodyPr/>
                      </wps:wsp>
                      <wps:wsp>
                        <wps:cNvSpPr txBox="1"/>
                        <wps:spPr>
                          <a:xfrm>
                            <a:off x="212760" y="840600"/>
                            <a:ext cx="343080" cy="55872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0,125</w:t>
                              </w:r>
                            </w:p>
                          </w:txbxContent>
                        </wps:txbx>
                        <wps:bodyPr wrap="square">
                          <a:spAutoFit/>
                        </wps:bodyPr>
                      </wps:wsp>
                      <wps:wsp>
                        <wps:cNvSpPr txBox="1"/>
                        <wps:spPr>
                          <a:xfrm>
                            <a:off x="474480" y="840600"/>
                            <a:ext cx="36360" cy="181440"/>
                          </a:xfrm>
                          <a:prstGeom prst="rect">
                            <a:avLst/>
                          </a:prstGeom>
                          <a:noFill/>
                          <a:ln>
                            <a:noFill/>
                          </a:ln>
                        </wps:spPr>
                        <wps:bodyPr/>
                      </wps:wsp>
                      <wps:wsp>
                        <wps:cNvSpPr txBox="1"/>
                        <wps:spPr>
                          <a:xfrm>
                            <a:off x="1364040" y="840600"/>
                            <a:ext cx="80712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od 85 do 100</w:t>
                              </w:r>
                            </w:p>
                          </w:txbxContent>
                        </wps:txbx>
                        <wps:bodyPr wrap="square">
                          <a:spAutoFit/>
                        </wps:bodyPr>
                      </wps:wsp>
                      <wps:wsp>
                        <wps:cNvSpPr txBox="1"/>
                        <wps:spPr>
                          <a:xfrm>
                            <a:off x="1976040" y="840600"/>
                            <a:ext cx="36360" cy="181440"/>
                          </a:xfrm>
                          <a:prstGeom prst="rect">
                            <a:avLst/>
                          </a:prstGeom>
                          <a:noFill/>
                          <a:ln>
                            <a:noFill/>
                          </a:ln>
                        </wps:spPr>
                        <wps:bodyPr/>
                      </wps:wsp>
                      <wps:wsp>
                        <wps:cNvSpPr txBox="1"/>
                        <wps:spPr>
                          <a:xfrm>
                            <a:off x="3639240" y="840600"/>
                            <a:ext cx="14976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10</w:t>
                              </w:r>
                            </w:p>
                          </w:txbxContent>
                        </wps:txbx>
                        <wps:bodyPr wrap="square">
                          <a:spAutoFit/>
                        </wps:bodyPr>
                      </wps:wsp>
                      <wps:wsp>
                        <wps:cNvSpPr txBox="1"/>
                        <wps:spPr>
                          <a:xfrm>
                            <a:off x="3755520" y="840600"/>
                            <a:ext cx="36360" cy="181440"/>
                          </a:xfrm>
                          <a:prstGeom prst="rect">
                            <a:avLst/>
                          </a:prstGeom>
                          <a:noFill/>
                          <a:ln>
                            <a:noFill/>
                          </a:ln>
                        </wps:spPr>
                        <wps:bodyPr/>
                      </wps:wsp>
                      <wps:wsp>
                        <wps:cNvSpPr txBox="1"/>
                        <wps:spPr>
                          <a:xfrm>
                            <a:off x="212760" y="1073160"/>
                            <a:ext cx="343080" cy="55872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0,063</w:t>
                              </w:r>
                            </w:p>
                          </w:txbxContent>
                        </wps:txbx>
                        <wps:bodyPr wrap="square">
                          <a:spAutoFit/>
                        </wps:bodyPr>
                      </wps:wsp>
                      <wps:wsp>
                        <wps:cNvSpPr txBox="1"/>
                        <wps:spPr>
                          <a:xfrm>
                            <a:off x="474480" y="1073160"/>
                            <a:ext cx="36360" cy="182160"/>
                          </a:xfrm>
                          <a:prstGeom prst="rect">
                            <a:avLst/>
                          </a:prstGeom>
                          <a:noFill/>
                          <a:ln>
                            <a:noFill/>
                          </a:ln>
                        </wps:spPr>
                        <wps:bodyPr/>
                      </wps:wsp>
                      <wps:wsp>
                        <wps:cNvSpPr txBox="1"/>
                        <wps:spPr>
                          <a:xfrm>
                            <a:off x="1364040" y="1073160"/>
                            <a:ext cx="80712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od 70 do 100</w:t>
                              </w:r>
                            </w:p>
                          </w:txbxContent>
                        </wps:txbx>
                        <wps:bodyPr wrap="square">
                          <a:spAutoFit/>
                        </wps:bodyPr>
                      </wps:wsp>
                      <wps:wsp>
                        <wps:cNvSpPr txBox="1"/>
                        <wps:spPr>
                          <a:xfrm>
                            <a:off x="1976040" y="1073160"/>
                            <a:ext cx="36360" cy="182160"/>
                          </a:xfrm>
                          <a:prstGeom prst="rect">
                            <a:avLst/>
                          </a:prstGeom>
                          <a:noFill/>
                          <a:ln>
                            <a:noFill/>
                          </a:ln>
                        </wps:spPr>
                        <wps:bodyPr/>
                      </wps:wsp>
                      <wps:wsp>
                        <wps:cNvSpPr txBox="1"/>
                        <wps:spPr>
                          <a:xfrm>
                            <a:off x="3639240" y="1073160"/>
                            <a:ext cx="14976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10</w:t>
                              </w:r>
                            </w:p>
                          </w:txbxContent>
                        </wps:txbx>
                        <wps:bodyPr wrap="square">
                          <a:spAutoFit/>
                        </wps:bodyPr>
                      </wps:wsp>
                      <wps:wsp>
                        <wps:cNvSpPr txBox="1"/>
                        <wps:spPr>
                          <a:xfrm>
                            <a:off x="3755520" y="1073160"/>
                            <a:ext cx="36360" cy="182160"/>
                          </a:xfrm>
                          <a:prstGeom prst="rect">
                            <a:avLst/>
                          </a:prstGeom>
                          <a:noFill/>
                          <a:ln>
                            <a:noFill/>
                          </a:ln>
                        </wps:spPr>
                        <wps:bodyPr/>
                      </wps:wsp>
                      <wps:wsp>
                        <wps:cNvSpPr txBox="1"/>
                        <wps:spPr>
                          <a:xfrm>
                            <a:off x="0" y="1327680"/>
                            <a:ext cx="602748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 xml:space="preserve">*zakres uziarnienia powinien być deklarowany na podstawie ostatnich 20 wyników, z których 90% </w:t>
                              </w:r>
                            </w:p>
                          </w:txbxContent>
                        </wps:txbx>
                        <wps:bodyPr wrap="square">
                          <a:spAutoFit/>
                        </wps:bodyPr>
                      </wps:wsp>
                      <wps:wsp>
                        <wps:cNvSpPr txBox="1"/>
                        <wps:spPr>
                          <a:xfrm>
                            <a:off x="0" y="1470600"/>
                            <a:ext cx="234432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powinno mieścić się w tym zakresie, a</w:t>
                              </w:r>
                            </w:p>
                          </w:txbxContent>
                        </wps:txbx>
                        <wps:bodyPr wrap="square">
                          <a:spAutoFit/>
                        </wps:bodyPr>
                      </wps:wsp>
                      <wps:wsp>
                        <wps:cNvSpPr txBox="1"/>
                        <wps:spPr>
                          <a:xfrm>
                            <a:off x="1769760" y="1449000"/>
                            <a:ext cx="36720" cy="182160"/>
                          </a:xfrm>
                          <a:prstGeom prst="rect">
                            <a:avLst/>
                          </a:prstGeom>
                          <a:noFill/>
                          <a:ln>
                            <a:noFill/>
                          </a:ln>
                        </wps:spPr>
                        <wps:bodyPr/>
                      </wps:wsp>
                      <wps:wsp>
                        <wps:cNvSpPr txBox="1"/>
                        <wps:spPr>
                          <a:xfrm>
                            <a:off x="1799640" y="1470600"/>
                            <a:ext cx="3899520" cy="24768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 xml:space="preserve">wszystkie powinny mieścić się w ogólnym zakresie podanym w </w:t>
                              </w:r>
                            </w:p>
                          </w:txbxContent>
                        </wps:txbx>
                        <wps:bodyPr wrap="square">
                          <a:spAutoFit/>
                        </wps:bodyPr>
                      </wps:wsp>
                      <wps:wsp>
                        <wps:cNvSpPr txBox="1"/>
                        <wps:spPr>
                          <a:xfrm>
                            <a:off x="0" y="1591920"/>
                            <a:ext cx="394200" cy="403200"/>
                          </a:xfrm>
                          <a:prstGeom prst="rect">
                            <a:avLst/>
                          </a:prstGeom>
                          <a:noFill/>
                          <a:ln>
                            <a:noFill/>
                          </a:ln>
                        </wps:spPr>
                        <wps:txb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tablicy</w:t>
                              </w:r>
                            </w:p>
                          </w:txbxContent>
                        </wps:txbx>
                        <wps:bodyPr wrap="square">
                          <a:spAutoFit/>
                        </wps:bodyPr>
                      </wps:wsp>
                      <wps:wsp>
                        <wps:cNvSpPr txBox="1"/>
                        <wps:spPr>
                          <a:xfrm>
                            <a:off x="298440" y="1591920"/>
                            <a:ext cx="36360" cy="182160"/>
                          </a:xfrm>
                          <a:prstGeom prst="rect">
                            <a:avLst/>
                          </a:prstGeom>
                          <a:noFill/>
                          <a:ln>
                            <a:noFill/>
                          </a:ln>
                        </wps:spPr>
                        <wps:bodyPr/>
                      </wps:wsp>
                      <wps:wsp>
                        <wps:cNvSpPr txBox="1"/>
                        <wps:spPr>
                          <a:xfrm>
                            <a:off x="0" y="1739880"/>
                            <a:ext cx="36720" cy="182160"/>
                          </a:xfrm>
                          <a:prstGeom prst="rect">
                            <a:avLst/>
                          </a:prstGeom>
                          <a:noFill/>
                          <a:ln>
                            <a:noFill/>
                          </a:ln>
                        </wps:spPr>
                        <wps:bodyPr/>
                      </wps:wsp>
                    </wpg:wgp>
                  </a:graphicData>
                </a:graphic>
              </wp:anchor>
            </w:drawing>
          </mc:Choice>
          <mc:Fallback>
            <w:pict>
              <v:group id="shape_0" alt="shape_0" style="position:absolute;margin-left:4.55pt;margin-top:7.3pt;width:474.6pt;height:157.1pt" coordorigin="91,146" coordsize="9492,3142">
                <v:shapetype id="shapetype_202" coordsize="21600,21600" o:spt="202" path="m,l,21600l21600,21600l21600,xe">
                  <v:stroke joinstyle="miter"/>
                  <v:path gradientshapeok="t" o:connecttype="rect"/>
                </v:shapetype>
                <v:shape id="shape_0" ID="Rectangle 3002" stroked="f" style="position:absolute;left:215;top:146;width:1104;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Sito # [mm]</w:t>
                        </w:r>
                      </w:p>
                    </w:txbxContent>
                  </v:textbox>
                  <w10:wrap type="square"/>
                  <v:fill o:detectmouseclick="t" on="false"/>
                  <v:stroke color="#3465a4" joinstyle="round" endcap="flat"/>
                </v:shape>
                <v:shape id="shape_0" ID="Rectangle 3003" stroked="f" style="position:absolute;left:1049;top:146;width:56;height:286" type="shapetype_202">
                  <w10:wrap type="none"/>
                  <v:fill o:detectmouseclick="t" on="false"/>
                  <v:stroke color="#3465a4" joinstyle="round" endcap="flat"/>
                </v:shape>
                <v:shape id="shape_0" ID="Rectangle 3004" stroked="f" style="position:absolute;left:3788;top:146;width:1769;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Przesiew [%(mm)]</w:t>
                        </w:r>
                      </w:p>
                    </w:txbxContent>
                  </v:textbox>
                  <w10:wrap type="square"/>
                  <v:fill o:detectmouseclick="t" on="false"/>
                  <v:stroke color="#3465a4" joinstyle="round" endcap="flat"/>
                </v:shape>
                <v:shape id="shape_0" ID="Rectangle 3005" stroked="f" style="position:absolute;left:5123;top:146;width:56;height:286" type="shapetype_202">
                  <w10:wrap type="none"/>
                  <v:fill o:detectmouseclick="t" on="false"/>
                  <v:stroke color="#3465a4" joinstyle="round" endcap="flat"/>
                </v:shape>
                <v:shape id="shape_0" ID="Rectangle 3016" stroked="f" style="position:absolute;left:1451;top:547;width:3360;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Ogólny zakres dla poszczególnych</w:t>
                        </w:r>
                      </w:p>
                    </w:txbxContent>
                  </v:textbox>
                  <w10:wrap type="square"/>
                  <v:fill o:detectmouseclick="t" on="false"/>
                  <v:stroke color="#3465a4" joinstyle="round" endcap="flat"/>
                </v:shape>
                <v:shape id="shape_0" ID="Rectangle 3017" stroked="f" style="position:absolute;left:3987;top:513;width:57;height:286" type="shapetype_202">
                  <w10:wrap type="none"/>
                  <v:fill o:detectmouseclick="t" on="false"/>
                  <v:stroke color="#3465a4" joinstyle="round" endcap="flat"/>
                </v:shape>
                <v:shape id="shape_0" ID="Rectangle 3018" stroked="f" style="position:absolute;left:2411;top:772;width:817;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wyników</w:t>
                        </w:r>
                      </w:p>
                    </w:txbxContent>
                  </v:textbox>
                  <w10:wrap type="square"/>
                  <v:fill o:detectmouseclick="t" on="false"/>
                  <v:stroke color="#3465a4" joinstyle="round" endcap="flat"/>
                </v:shape>
                <v:shape id="shape_0" ID="Rectangle 3019" stroked="f" style="position:absolute;left:3031;top:738;width:56;height:286" type="shapetype_202">
                  <w10:wrap type="none"/>
                  <v:fill o:detectmouseclick="t" on="false"/>
                  <v:stroke color="#3465a4" joinstyle="round" endcap="flat"/>
                </v:shape>
                <v:shape id="shape_0" ID="Rectangle 3020" stroked="f" style="position:absolute;left:4284;top:513;width:4378;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 xml:space="preserve">Maksymalny zakres uziarnienia deklarowany </w:t>
                        </w:r>
                      </w:p>
                    </w:txbxContent>
                  </v:textbox>
                  <w10:wrap type="square"/>
                  <v:fill o:detectmouseclick="t" on="false"/>
                  <v:stroke color="#3465a4" joinstyle="round" endcap="flat"/>
                </v:shape>
                <v:shape id="shape_0" ID="Rectangle 3021" stroked="f" style="position:absolute;left:5245;top:738;width:1768;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przez producenta*</w:t>
                        </w:r>
                      </w:p>
                    </w:txbxContent>
                  </v:textbox>
                  <w10:wrap type="square"/>
                  <v:fill o:detectmouseclick="t" on="false"/>
                  <v:stroke color="#3465a4" joinstyle="round" endcap="flat"/>
                </v:shape>
                <v:shape id="shape_0" ID="Rectangle 3022" stroked="f" style="position:absolute;left:6583;top:738;width:56;height:286" type="shapetype_202">
                  <w10:wrap type="none"/>
                  <v:fill o:detectmouseclick="t" on="false"/>
                  <v:stroke color="#3465a4" joinstyle="round" endcap="flat"/>
                </v:shape>
                <v:shape id="shape_0" ID="Rectangle 3033" stroked="f" style="position:absolute;left:587;top:1106;width:115;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2</w:t>
                        </w:r>
                      </w:p>
                    </w:txbxContent>
                  </v:textbox>
                  <w10:wrap type="square"/>
                  <v:fill o:detectmouseclick="t" on="false"/>
                  <v:stroke color="#3465a4" joinstyle="round" endcap="flat"/>
                </v:shape>
                <v:shape id="shape_0" ID="Rectangle 3034" stroked="f" style="position:absolute;left:680;top:1106;width:56;height:286" type="shapetype_202">
                  <w10:wrap type="none"/>
                  <v:fill o:detectmouseclick="t" on="false"/>
                  <v:stroke color="#3465a4" joinstyle="round" endcap="flat"/>
                </v:shape>
                <v:shape id="shape_0" ID="Rectangle 3035" stroked="f" style="position:absolute;left:2583;top:1106;width:356;height:87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100</w:t>
                        </w:r>
                      </w:p>
                    </w:txbxContent>
                  </v:textbox>
                  <w10:wrap type="square"/>
                  <v:fill o:detectmouseclick="t" on="false"/>
                  <v:stroke color="#3465a4" joinstyle="round" endcap="flat"/>
                </v:shape>
                <v:shape id="shape_0" ID="Rectangle 3036" stroked="f" style="position:absolute;left:2857;top:1106;width:56;height:286" type="shapetype_202">
                  <w10:wrap type="none"/>
                  <v:fill o:detectmouseclick="t" on="false"/>
                  <v:stroke color="#3465a4" joinstyle="round" endcap="flat"/>
                </v:shape>
                <v:shape id="shape_0" ID="Rectangle 3037" stroked="f" style="position:absolute;left:5886;top:1106;width:67;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w:t>
                        </w:r>
                      </w:p>
                    </w:txbxContent>
                  </v:textbox>
                  <w10:wrap type="square"/>
                  <v:fill o:detectmouseclick="t" on="false"/>
                  <v:stroke color="#3465a4" joinstyle="round" endcap="flat"/>
                </v:shape>
                <v:shape id="shape_0" ID="Rectangle 3038" stroked="f" style="position:absolute;left:5941;top:1106;width:56;height:286" type="shapetype_202">
                  <w10:wrap type="none"/>
                  <v:fill o:detectmouseclick="t" on="false"/>
                  <v:stroke color="#3465a4" joinstyle="round" endcap="flat"/>
                </v:shape>
                <v:shape id="shape_0" ID="Rectangle 3050" stroked="f" style="position:absolute;left:426;top:1470;width:539;height:87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0,125</w:t>
                        </w:r>
                      </w:p>
                    </w:txbxContent>
                  </v:textbox>
                  <w10:wrap type="square"/>
                  <v:fill o:detectmouseclick="t" on="false"/>
                  <v:stroke color="#3465a4" joinstyle="round" endcap="flat"/>
                </v:shape>
                <v:shape id="shape_0" ID="Rectangle 3051" stroked="f" style="position:absolute;left:838;top:1470;width:56;height:285" type="shapetype_202">
                  <w10:wrap type="none"/>
                  <v:fill o:detectmouseclick="t" on="false"/>
                  <v:stroke color="#3465a4" joinstyle="round" endcap="flat"/>
                </v:shape>
                <v:shape id="shape_0" ID="Rectangle 3052" stroked="f" style="position:absolute;left:2239;top:1470;width:1270;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od 85 do 100</w:t>
                        </w:r>
                      </w:p>
                    </w:txbxContent>
                  </v:textbox>
                  <w10:wrap type="square"/>
                  <v:fill o:detectmouseclick="t" on="false"/>
                  <v:stroke color="#3465a4" joinstyle="round" endcap="flat"/>
                </v:shape>
                <v:shape id="shape_0" ID="Rectangle 3053" stroked="f" style="position:absolute;left:3203;top:1470;width:56;height:285" type="shapetype_202">
                  <w10:wrap type="none"/>
                  <v:fill o:detectmouseclick="t" on="false"/>
                  <v:stroke color="#3465a4" joinstyle="round" endcap="flat"/>
                </v:shape>
                <v:shape id="shape_0" ID="Rectangle 3054" stroked="f" style="position:absolute;left:5822;top:1470;width:235;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10</w:t>
                        </w:r>
                      </w:p>
                    </w:txbxContent>
                  </v:textbox>
                  <w10:wrap type="square"/>
                  <v:fill o:detectmouseclick="t" on="false"/>
                  <v:stroke color="#3465a4" joinstyle="round" endcap="flat"/>
                </v:shape>
                <v:shape id="shape_0" ID="Rectangle 3055" stroked="f" style="position:absolute;left:6005;top:1470;width:56;height:285" type="shapetype_202">
                  <w10:wrap type="none"/>
                  <v:fill o:detectmouseclick="t" on="false"/>
                  <v:stroke color="#3465a4" joinstyle="round" endcap="flat"/>
                </v:shape>
                <v:shape id="shape_0" ID="Rectangle 3067" stroked="f" style="position:absolute;left:426;top:1836;width:539;height:87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0,063</w:t>
                        </w:r>
                      </w:p>
                    </w:txbxContent>
                  </v:textbox>
                  <w10:wrap type="square"/>
                  <v:fill o:detectmouseclick="t" on="false"/>
                  <v:stroke color="#3465a4" joinstyle="round" endcap="flat"/>
                </v:shape>
                <v:shape id="shape_0" ID="Rectangle 3068" stroked="f" style="position:absolute;left:838;top:1836;width:56;height:286" type="shapetype_202">
                  <w10:wrap type="none"/>
                  <v:fill o:detectmouseclick="t" on="false"/>
                  <v:stroke color="#3465a4" joinstyle="round" endcap="flat"/>
                </v:shape>
                <v:shape id="shape_0" ID="Rectangle 3069" stroked="f" style="position:absolute;left:2239;top:1836;width:1270;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od 70 do 100</w:t>
                        </w:r>
                      </w:p>
                    </w:txbxContent>
                  </v:textbox>
                  <w10:wrap type="square"/>
                  <v:fill o:detectmouseclick="t" on="false"/>
                  <v:stroke color="#3465a4" joinstyle="round" endcap="flat"/>
                </v:shape>
                <v:shape id="shape_0" ID="Rectangle 3070" stroked="f" style="position:absolute;left:3203;top:1836;width:56;height:286" type="shapetype_202">
                  <w10:wrap type="none"/>
                  <v:fill o:detectmouseclick="t" on="false"/>
                  <v:stroke color="#3465a4" joinstyle="round" endcap="flat"/>
                </v:shape>
                <v:shape id="shape_0" ID="Rectangle 3071" stroked="f" style="position:absolute;left:5822;top:1836;width:235;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10</w:t>
                        </w:r>
                      </w:p>
                    </w:txbxContent>
                  </v:textbox>
                  <w10:wrap type="square"/>
                  <v:fill o:detectmouseclick="t" on="false"/>
                  <v:stroke color="#3465a4" joinstyle="round" endcap="flat"/>
                </v:shape>
                <v:shape id="shape_0" ID="Rectangle 3072" stroked="f" style="position:absolute;left:6005;top:1836;width:56;height:286" type="shapetype_202">
                  <w10:wrap type="none"/>
                  <v:fill o:detectmouseclick="t" on="false"/>
                  <v:stroke color="#3465a4" joinstyle="round" endcap="flat"/>
                </v:shape>
                <v:shape id="shape_0" ID="Rectangle 3084" stroked="f" style="position:absolute;left:91;top:2237;width:9491;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 xml:space="preserve">*zakres uziarnienia powinien być deklarowany na podstawie ostatnich 20 wyników, z których 90% </w:t>
                        </w:r>
                      </w:p>
                    </w:txbxContent>
                  </v:textbox>
                  <w10:wrap type="square"/>
                  <v:fill o:detectmouseclick="t" on="false"/>
                  <v:stroke color="#3465a4" joinstyle="round" endcap="flat"/>
                </v:shape>
                <v:shape id="shape_0" ID="Rectangle 3085" stroked="f" style="position:absolute;left:91;top:2462;width:3691;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powinno mieścić się w tym zakresie, a</w:t>
                        </w:r>
                      </w:p>
                    </w:txbxContent>
                  </v:textbox>
                  <w10:wrap type="square"/>
                  <v:fill o:detectmouseclick="t" on="false"/>
                  <v:stroke color="#3465a4" joinstyle="round" endcap="flat"/>
                </v:shape>
                <v:shape id="shape_0" ID="Rectangle 3086" stroked="f" style="position:absolute;left:2878;top:2428;width:57;height:286" type="shapetype_202">
                  <w10:wrap type="none"/>
                  <v:fill o:detectmouseclick="t" on="false"/>
                  <v:stroke color="#3465a4" joinstyle="round" endcap="flat"/>
                </v:shape>
                <v:shape id="shape_0" ID="Rectangle 3087" stroked="f" style="position:absolute;left:2925;top:2462;width:6140;height:389"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 xml:space="preserve">wszystkie powinny mieścić się w ogólnym zakresie podanym w </w:t>
                        </w:r>
                      </w:p>
                    </w:txbxContent>
                  </v:textbox>
                  <w10:wrap type="square"/>
                  <v:fill o:detectmouseclick="t" on="false"/>
                  <v:stroke color="#3465a4" joinstyle="round" endcap="flat"/>
                </v:shape>
                <v:shape id="shape_0" ID="Rectangle 3088" stroked="f" style="position:absolute;left:91;top:2653;width:620;height:634" type="shapetype_202">
                  <v:textbox>
                    <w:txbxContent>
                      <w:p>
                        <w:pPr>
                          <w:overflowPunct w:val="false"/>
                          <w:spacing w:before="0" w:after="0" w:lineRule="auto" w:line="240"/>
                          <w:ind w:hanging="0"/>
                          <w:jc w:val="left"/>
                          <w:rPr/>
                        </w:pPr>
                        <w:r>
                          <w:rPr>
                            <w:rFonts w:ascii="Calibri" w:hAnsi="Calibri" w:eastAsia="" w:cs="" w:asciiTheme="minorHAnsi" w:cstheme="minorBidi" w:eastAsiaTheme="minorEastAsia" w:hAnsiTheme="minorHAnsi"/>
                            <w:color w:val="00000A"/>
                          </w:rPr>
                          <w:t>tablicy</w:t>
                        </w:r>
                      </w:p>
                    </w:txbxContent>
                  </v:textbox>
                  <w10:wrap type="square"/>
                  <v:fill o:detectmouseclick="t" on="false"/>
                  <v:stroke color="#3465a4" joinstyle="round" endcap="flat"/>
                </v:shape>
                <v:shape id="shape_0" ID="Rectangle 3089" stroked="f" style="position:absolute;left:561;top:2653;width:56;height:286" type="shapetype_202">
                  <w10:wrap type="none"/>
                  <v:fill o:detectmouseclick="t" on="false"/>
                  <v:stroke color="#3465a4" joinstyle="round" endcap="flat"/>
                </v:shape>
                <v:shape id="shape_0" ID="Rectangle 3105" stroked="f" style="position:absolute;left:91;top:2886;width:57;height:286" type="shapetype_202">
                  <w10:wrap type="none"/>
                  <v:fill o:detectmouseclick="t" on="false"/>
                  <v:stroke color="#3465a4" joinstyle="round" endcap="flat"/>
                </v:shape>
              </v:group>
            </w:pict>
          </mc:Fallback>
        </mc:AlternateContent>
      </w:r>
    </w:p>
    <w:p>
      <w:pPr>
        <w:pStyle w:val="Normal"/>
        <w:ind w:left="266" w:right="461" w:hanging="10"/>
        <w:rPr/>
      </w:pPr>
      <w:r>
        <w:rPr/>
        <w:t xml:space="preserve">Tablica 8. Wymagane właściwości wypełniacza do warstwy ścieralnej z AC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53" w:type="dxa"/>
        </w:tblCellMar>
        <w:tblLook w:val="04a0"/>
      </w:tblPr>
      <w:tblGrid>
        <w:gridCol w:w="694"/>
        <w:gridCol w:w="6839"/>
        <w:gridCol w:w="2040"/>
      </w:tblGrid>
      <w:tr>
        <w:trPr>
          <w:trHeight w:val="375" w:hRule="atLeast"/>
        </w:trPr>
        <w:tc>
          <w:tcPr>
            <w:tcW w:w="694"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0" w:hanging="0"/>
              <w:jc w:val="center"/>
              <w:rPr/>
            </w:pPr>
            <w:r>
              <w:rPr>
                <w:b/>
              </w:rPr>
              <w:t xml:space="preserve">Lp. </w:t>
            </w:r>
          </w:p>
        </w:tc>
        <w:tc>
          <w:tcPr>
            <w:tcW w:w="6839"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7" w:hanging="0"/>
              <w:jc w:val="center"/>
              <w:rPr/>
            </w:pPr>
            <w:r>
              <w:rPr>
                <w:b/>
              </w:rPr>
              <w:t xml:space="preserve">Właściwości kruszywa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4" w:hanging="0"/>
              <w:jc w:val="center"/>
              <w:rPr/>
            </w:pPr>
            <w:r>
              <w:rPr>
                <w:b/>
              </w:rPr>
              <w:t xml:space="preserve">Wymagania </w:t>
            </w:r>
          </w:p>
        </w:tc>
      </w:tr>
      <w:tr>
        <w:trPr>
          <w:trHeight w:val="374" w:hRule="atLeast"/>
        </w:trPr>
        <w:tc>
          <w:tcPr>
            <w:tcW w:w="694"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683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0" w:hanging="0"/>
              <w:jc w:val="center"/>
              <w:rPr/>
            </w:pPr>
            <w:r>
              <w:rPr>
                <w:b/>
              </w:rPr>
              <w:t xml:space="preserve">KR1 – KR6 </w:t>
            </w:r>
          </w:p>
        </w:tc>
      </w:tr>
      <w:tr>
        <w:trPr>
          <w:trHeight w:val="374"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2" w:hanging="0"/>
              <w:jc w:val="center"/>
              <w:rPr/>
            </w:pPr>
            <w:r>
              <w:rPr/>
              <w:t xml:space="preserve">1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 xml:space="preserve">Uziarnienie według PN-EN 933-10: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10" w:right="0" w:hanging="0"/>
              <w:jc w:val="left"/>
              <w:rPr/>
            </w:pPr>
            <w:r>
              <w:rPr/>
              <w:t xml:space="preserve">Zgodnie z Tablicą 7 </w:t>
            </w:r>
          </w:p>
        </w:tc>
      </w:tr>
      <w:tr>
        <w:trPr>
          <w:trHeight w:val="372"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2" w:hanging="0"/>
              <w:jc w:val="center"/>
              <w:rPr/>
            </w:pPr>
            <w:r>
              <w:rPr/>
              <w:t xml:space="preserve">2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 xml:space="preserve">Jakość pyłów według PN-EN 933-9, kategoria nie wyższa niż: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0" w:hanging="0"/>
              <w:jc w:val="center"/>
              <w:rPr/>
            </w:pPr>
            <w:r>
              <w:rPr/>
              <w:t>MB</w:t>
            </w:r>
            <w:r>
              <w:rPr>
                <w:vertAlign w:val="subscript"/>
              </w:rPr>
              <w:t>F</w:t>
            </w:r>
            <w:r>
              <w:rPr/>
              <w:t xml:space="preserve">10 </w:t>
            </w:r>
          </w:p>
        </w:tc>
      </w:tr>
      <w:tr>
        <w:trPr>
          <w:trHeight w:val="374"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2" w:hanging="0"/>
              <w:jc w:val="center"/>
              <w:rPr/>
            </w:pPr>
            <w:r>
              <w:rPr/>
              <w:t xml:space="preserve">3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 xml:space="preserve">Zawartość wody według PN-EN 1097-5, nie wyższa niż: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49" w:hanging="0"/>
              <w:jc w:val="center"/>
              <w:rPr/>
            </w:pPr>
            <w:r>
              <w:rPr/>
              <w:t xml:space="preserve">1% (m/m) </w:t>
            </w:r>
          </w:p>
        </w:tc>
      </w:tr>
      <w:tr>
        <w:trPr>
          <w:trHeight w:val="603"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 xml:space="preserve">4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0" w:hanging="0"/>
              <w:jc w:val="left"/>
              <w:rPr/>
            </w:pPr>
            <w:r>
              <w:rPr/>
              <w:t xml:space="preserve">Gęstość ziaren według EN 1097-7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center"/>
              <w:rPr/>
            </w:pPr>
            <w:r>
              <w:rPr/>
              <w:t xml:space="preserve">deklarowana przez producenta </w:t>
            </w:r>
          </w:p>
        </w:tc>
      </w:tr>
      <w:tr>
        <w:trPr>
          <w:trHeight w:val="605"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 xml:space="preserve">5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Wolne przestrzenie w suchym zagęszczonym wypełniaczu według PNEN 1097-4, wymagana kategoria: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0" w:hanging="0"/>
              <w:jc w:val="center"/>
              <w:rPr/>
            </w:pPr>
            <w:r>
              <w:rPr/>
              <w:t>V</w:t>
            </w:r>
            <w:r>
              <w:rPr>
                <w:sz w:val="13"/>
              </w:rPr>
              <w:t xml:space="preserve">28/45 </w:t>
            </w:r>
          </w:p>
        </w:tc>
      </w:tr>
      <w:tr>
        <w:trPr>
          <w:trHeight w:val="605"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 xml:space="preserve">6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 xml:space="preserve">Przyrost temperatury mięknienia według PN-EN 13179-1, wymagana kategoria: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7" w:hanging="0"/>
              <w:jc w:val="center"/>
              <w:rPr/>
            </w:pPr>
            <w:r>
              <w:rPr>
                <w:rFonts w:eastAsia="Segoe UI Symbol" w:cs="Segoe UI Symbol" w:ascii="Segoe UI Symbol" w:hAnsi="Segoe UI Symbol"/>
              </w:rPr>
              <w:t></w:t>
            </w:r>
            <w:r>
              <w:rPr>
                <w:vertAlign w:val="subscript"/>
              </w:rPr>
              <w:t>R&amp;B</w:t>
            </w:r>
            <w:r>
              <w:rPr/>
              <w:t xml:space="preserve">8/25 </w:t>
            </w:r>
          </w:p>
        </w:tc>
      </w:tr>
      <w:tr>
        <w:trPr>
          <w:trHeight w:val="602"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 xml:space="preserve">7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Rozpuszczalność w wodzie według PN-EN 1744-1, kategoria nie wyższa niż: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55" w:hanging="0"/>
              <w:jc w:val="center"/>
              <w:rPr/>
            </w:pPr>
            <w:r>
              <w:rPr/>
              <w:t>WS</w:t>
            </w:r>
            <w:r>
              <w:rPr>
                <w:vertAlign w:val="subscript"/>
              </w:rPr>
              <w:t>10</w:t>
            </w:r>
          </w:p>
        </w:tc>
      </w:tr>
      <w:tr>
        <w:trPr>
          <w:trHeight w:val="605"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 xml:space="preserve">8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rPr/>
            </w:pPr>
            <w:r>
              <w:rPr/>
              <w:t xml:space="preserve">Zawartość CaCO3 w wypełniaczu wapiennym według PN-EN 196-2, kategoria nie niższa niż: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CC</w:t>
            </w:r>
            <w:r>
              <w:rPr>
                <w:vertAlign w:val="subscript"/>
              </w:rPr>
              <w:t>70</w:t>
            </w:r>
          </w:p>
        </w:tc>
      </w:tr>
      <w:tr>
        <w:trPr>
          <w:trHeight w:val="605"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2" w:hanging="0"/>
              <w:jc w:val="center"/>
              <w:rPr/>
            </w:pPr>
            <w:r>
              <w:rPr/>
              <w:t xml:space="preserve">9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 xml:space="preserve">Zawartość wodorotlenku wapnia w wypełniaczu mieszanym, wymagana kategoria: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0" w:right="64" w:hanging="0"/>
              <w:jc w:val="center"/>
              <w:rPr/>
            </w:pPr>
            <w:r>
              <w:rPr/>
              <w:t>K</w:t>
            </w:r>
            <w:r>
              <w:rPr>
                <w:sz w:val="13"/>
              </w:rPr>
              <w:t xml:space="preserve">a Deklarowana </w:t>
            </w:r>
          </w:p>
        </w:tc>
      </w:tr>
      <w:tr>
        <w:trPr>
          <w:trHeight w:val="374" w:hRule="atLeast"/>
        </w:trPr>
        <w:tc>
          <w:tcPr>
            <w:tcW w:w="6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59" w:hanging="0"/>
              <w:jc w:val="center"/>
              <w:rPr/>
            </w:pPr>
            <w:r>
              <w:rPr/>
              <w:t xml:space="preserve">10 </w:t>
            </w:r>
          </w:p>
        </w:tc>
        <w:tc>
          <w:tcPr>
            <w:tcW w:w="6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0" w:hanging="0"/>
              <w:jc w:val="left"/>
              <w:rPr/>
            </w:pPr>
            <w:r>
              <w:rPr/>
              <w:t>„</w:t>
            </w:r>
            <w:r>
              <w:rPr/>
              <w:t xml:space="preserve">Liczba asfaltowa" według PN-EN 13179-2, wymagana kategoria: </w:t>
            </w:r>
          </w:p>
        </w:tc>
        <w:tc>
          <w:tcPr>
            <w:tcW w:w="20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bottom"/>
          </w:tcPr>
          <w:p>
            <w:pPr>
              <w:pStyle w:val="Normal"/>
              <w:spacing w:lineRule="auto" w:line="259" w:before="0" w:after="0"/>
              <w:ind w:left="0" w:right="64" w:hanging="0"/>
              <w:jc w:val="center"/>
              <w:rPr/>
            </w:pPr>
            <w:r>
              <w:rPr/>
              <w:t>BN</w:t>
            </w:r>
            <w:r>
              <w:rPr>
                <w:sz w:val="13"/>
              </w:rPr>
              <w:t>Deklarowana</w:t>
            </w:r>
          </w:p>
        </w:tc>
      </w:tr>
    </w:tbl>
    <w:p>
      <w:pPr>
        <w:pStyle w:val="Normal"/>
        <w:spacing w:lineRule="auto" w:line="259" w:before="0" w:after="14"/>
        <w:ind w:left="828" w:right="0" w:hanging="0"/>
        <w:jc w:val="left"/>
        <w:rPr/>
      </w:pPr>
      <w:r>
        <w:rPr/>
      </w:r>
    </w:p>
    <w:p>
      <w:pPr>
        <w:pStyle w:val="Normal"/>
        <w:ind w:left="256" w:right="461" w:firstLine="566"/>
        <w:rPr/>
      </w:pPr>
      <w:r>
        <w:rPr/>
        <w:t>Stosowanie pyłów z odpylania jest możliwe pod warunkiem spełnienia wymagań jak dla wypełniacza. Proporcja pyłów i wypełniacza wapiennego powinna być tak dobrana, aby kategoria zawartości CaCO</w:t>
      </w:r>
      <w:r>
        <w:rPr>
          <w:vertAlign w:val="subscript"/>
        </w:rPr>
        <w:t>3</w:t>
      </w:r>
      <w:r>
        <w:rPr/>
        <w:t xml:space="preserve"> w mieszance pyłów i wypełniacza wapiennego była nie niższa niż CC</w:t>
      </w:r>
      <w:r>
        <w:rPr>
          <w:vertAlign w:val="subscript"/>
        </w:rPr>
        <w:t xml:space="preserve">70 </w:t>
      </w:r>
    </w:p>
    <w:p>
      <w:pPr>
        <w:pStyle w:val="Normal"/>
        <w:spacing w:lineRule="auto" w:line="259" w:before="0" w:after="0"/>
        <w:ind w:left="262" w:right="0" w:hanging="0"/>
        <w:jc w:val="left"/>
        <w:rPr/>
      </w:pPr>
      <w:r>
        <w:rPr/>
      </w:r>
    </w:p>
    <w:p>
      <w:pPr>
        <w:pStyle w:val="Normal"/>
        <w:spacing w:before="0" w:after="35"/>
        <w:ind w:left="266" w:right="461" w:hanging="10"/>
        <w:rPr/>
      </w:pPr>
      <w:r>
        <w:rPr>
          <w:b/>
        </w:rPr>
        <w:t xml:space="preserve">2.5.3. </w:t>
      </w:r>
      <w:r>
        <w:rPr/>
        <w:t xml:space="preserve">Granulat asfaltowy </w:t>
      </w:r>
    </w:p>
    <w:p>
      <w:pPr>
        <w:pStyle w:val="Normal"/>
        <w:ind w:left="980" w:right="461" w:hanging="10"/>
        <w:rPr/>
      </w:pPr>
      <w:r>
        <w:rPr/>
        <w:t xml:space="preserve">Granulat asfaltowy można wykorzystać tylko do produkcji mieszanki asfaltowej AC 11 W KR1 – </w:t>
      </w:r>
    </w:p>
    <w:p>
      <w:pPr>
        <w:pStyle w:val="Normal"/>
        <w:spacing w:before="0" w:after="36"/>
        <w:ind w:left="266" w:right="461" w:hanging="10"/>
        <w:rPr/>
      </w:pPr>
      <w:r>
        <w:rPr/>
        <w:t xml:space="preserve">KR 2. Ilość granulatu oraz częstotliwość wykonywanych badań granulatu musi być zgodna z zapisami z zapisami podanymi poniżej. </w:t>
      </w:r>
    </w:p>
    <w:p>
      <w:pPr>
        <w:pStyle w:val="Normal"/>
        <w:spacing w:lineRule="auto" w:line="259" w:before="0" w:after="51"/>
        <w:ind w:left="970" w:right="0" w:hanging="0"/>
        <w:jc w:val="left"/>
        <w:rPr/>
      </w:pPr>
      <w:r>
        <w:rPr/>
      </w:r>
    </w:p>
    <w:p>
      <w:pPr>
        <w:pStyle w:val="Normal"/>
        <w:ind w:left="980" w:right="461" w:hanging="10"/>
        <w:rPr/>
      </w:pPr>
      <w:r>
        <w:rPr/>
        <w:t xml:space="preserve">Tablica 9. Wymagania dotyczące granulatu asfaltowego </w:t>
      </w:r>
    </w:p>
    <w:tbl>
      <w:tblPr>
        <w:tblStyle w:val="TableGrid"/>
        <w:tblW w:w="9060"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98" w:type="dxa"/>
          <w:bottom w:w="0" w:type="dxa"/>
          <w:right w:w="53" w:type="dxa"/>
        </w:tblCellMar>
        <w:tblLook w:val="04a0"/>
      </w:tblPr>
      <w:tblGrid>
        <w:gridCol w:w="2830"/>
        <w:gridCol w:w="1844"/>
        <w:gridCol w:w="4386"/>
      </w:tblGrid>
      <w:tr>
        <w:trPr>
          <w:trHeight w:val="274" w:hRule="atLeast"/>
        </w:trPr>
        <w:tc>
          <w:tcPr>
            <w:tcW w:w="467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Wymagania </w:t>
            </w:r>
          </w:p>
        </w:tc>
        <w:tc>
          <w:tcPr>
            <w:tcW w:w="4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Wiążąca; Wyrównawcza </w:t>
            </w:r>
          </w:p>
        </w:tc>
      </w:tr>
      <w:tr>
        <w:trPr>
          <w:trHeight w:val="276" w:hRule="atLeast"/>
        </w:trPr>
        <w:tc>
          <w:tcPr>
            <w:tcW w:w="467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Zawartość materiałów obcych </w:t>
            </w:r>
          </w:p>
        </w:tc>
        <w:tc>
          <w:tcPr>
            <w:tcW w:w="4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Kategoria FM1/01 </w:t>
            </w:r>
          </w:p>
        </w:tc>
      </w:tr>
      <w:tr>
        <w:trPr>
          <w:trHeight w:val="1332" w:hRule="atLeast"/>
        </w:trPr>
        <w:tc>
          <w:tcPr>
            <w:tcW w:w="2830"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tabs>
                <w:tab w:val="center" w:pos="1252" w:leader="none"/>
                <w:tab w:val="right" w:pos="2669" w:leader="none"/>
              </w:tabs>
              <w:spacing w:lineRule="auto" w:line="259" w:before="0" w:after="23"/>
              <w:ind w:left="0" w:right="0" w:hanging="0"/>
              <w:jc w:val="left"/>
              <w:rPr/>
            </w:pPr>
            <w:r>
              <w:rPr>
                <w:rFonts w:eastAsia="Calibri" w:cs="Calibri" w:ascii="Calibri" w:hAnsi="Calibri"/>
                <w:sz w:val="22"/>
              </w:rPr>
              <w:tab/>
            </w:r>
            <w:r>
              <w:rPr/>
              <w:t xml:space="preserve">Właściwości </w:t>
              <w:tab/>
              <w:t>lepisz-</w:t>
            </w:r>
          </w:p>
          <w:p>
            <w:pPr>
              <w:pStyle w:val="Normal"/>
              <w:spacing w:lineRule="auto" w:line="259" w:before="0" w:after="17"/>
              <w:ind w:left="0" w:right="0" w:hanging="0"/>
              <w:jc w:val="left"/>
              <w:rPr/>
            </w:pPr>
            <w:r>
              <w:rPr/>
              <w:t xml:space="preserve">cza </w:t>
            </w:r>
          </w:p>
          <w:p>
            <w:pPr>
              <w:pStyle w:val="Normal"/>
              <w:spacing w:lineRule="auto" w:line="259" w:before="0" w:after="0"/>
              <w:ind w:left="0" w:right="0" w:hanging="0"/>
              <w:jc w:val="left"/>
              <w:rPr/>
            </w:pPr>
            <w:r>
              <w:rPr/>
              <w:t xml:space="preserve">w granulacie asfaltowym * </w:t>
            </w:r>
          </w:p>
        </w:tc>
        <w:tc>
          <w:tcPr>
            <w:tcW w:w="18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44" w:right="0" w:hanging="0"/>
              <w:jc w:val="center"/>
              <w:rPr/>
            </w:pPr>
            <w:r>
              <w:rPr/>
              <w:t xml:space="preserve">PiK </w:t>
            </w:r>
          </w:p>
        </w:tc>
        <w:tc>
          <w:tcPr>
            <w:tcW w:w="4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312" w:before="0" w:after="0"/>
              <w:ind w:left="708" w:right="56" w:hanging="0"/>
              <w:rPr/>
            </w:pPr>
            <w:r>
              <w:rPr/>
              <w:t>Kategoria S70 Wartość średnia temperatury mięknie-</w:t>
            </w:r>
          </w:p>
          <w:p>
            <w:pPr>
              <w:pStyle w:val="Normal"/>
              <w:spacing w:lineRule="auto" w:line="216" w:before="0" w:after="0"/>
              <w:ind w:left="0" w:right="57" w:firstLine="2991"/>
              <w:rPr/>
            </w:pPr>
            <w:r>
              <w:rPr>
                <w:sz w:val="13"/>
              </w:rPr>
              <w:t xml:space="preserve">O </w:t>
            </w:r>
            <w:r>
              <w:rPr/>
              <w:t xml:space="preserve">nia nie może być wyższa niż 70 C. Pojedyncze wartości temperatury mięknienia nie mogą </w:t>
            </w:r>
          </w:p>
          <w:p>
            <w:pPr>
              <w:pStyle w:val="Normal"/>
              <w:spacing w:lineRule="auto" w:line="259" w:before="0" w:after="0"/>
              <w:ind w:left="0" w:right="1717" w:firstLine="1344"/>
              <w:jc w:val="left"/>
              <w:rPr/>
            </w:pPr>
            <w:r>
              <w:rPr>
                <w:sz w:val="13"/>
              </w:rPr>
              <w:t xml:space="preserve">O </w:t>
            </w:r>
            <w:r>
              <w:rPr/>
              <w:t xml:space="preserve">przekroczyć 77 C </w:t>
            </w:r>
          </w:p>
        </w:tc>
      </w:tr>
      <w:tr>
        <w:trPr>
          <w:trHeight w:val="1333" w:hRule="atLeast"/>
        </w:trPr>
        <w:tc>
          <w:tcPr>
            <w:tcW w:w="2830"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r>
          </w:p>
        </w:tc>
        <w:tc>
          <w:tcPr>
            <w:tcW w:w="18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141" w:right="0" w:hanging="0"/>
              <w:jc w:val="center"/>
              <w:rPr/>
            </w:pPr>
            <w:r>
              <w:rPr/>
              <w:t xml:space="preserve">PEN </w:t>
            </w:r>
          </w:p>
        </w:tc>
        <w:tc>
          <w:tcPr>
            <w:tcW w:w="4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17"/>
              <w:ind w:left="708" w:right="0" w:hanging="0"/>
              <w:jc w:val="left"/>
              <w:rPr/>
            </w:pPr>
            <w:r>
              <w:rPr/>
              <w:t xml:space="preserve">Kategoria P15 </w:t>
            </w:r>
          </w:p>
          <w:p>
            <w:pPr>
              <w:pStyle w:val="Normal"/>
              <w:spacing w:lineRule="auto" w:line="259" w:before="0" w:after="0"/>
              <w:ind w:left="0" w:right="56" w:firstLine="708"/>
              <w:rPr/>
            </w:pPr>
            <w:r>
              <w:rPr/>
              <w:t xml:space="preserve">Wartość średnia pentracji nie może być mniejsza niż 15x0,1 mm. Pojedyncze wartości pentracji nie mogą być mniejsze niż 10x0,1 mm </w:t>
            </w:r>
          </w:p>
        </w:tc>
      </w:tr>
      <w:tr>
        <w:trPr>
          <w:trHeight w:val="274" w:hRule="atLeast"/>
        </w:trPr>
        <w:tc>
          <w:tcPr>
            <w:tcW w:w="467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Jednorodność </w:t>
            </w:r>
          </w:p>
        </w:tc>
        <w:tc>
          <w:tcPr>
            <w:tcW w:w="4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Wg tablicy </w:t>
            </w:r>
          </w:p>
        </w:tc>
      </w:tr>
      <w:tr>
        <w:trPr>
          <w:trHeight w:val="804" w:hRule="atLeast"/>
        </w:trPr>
        <w:tc>
          <w:tcPr>
            <w:tcW w:w="9060"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17"/>
              <w:ind w:left="0" w:right="56" w:hanging="0"/>
              <w:jc w:val="right"/>
              <w:rPr/>
            </w:pPr>
            <w:r>
              <w:rPr/>
              <w:t>* do sklasyfikowania lepiszcza odzyskanego w granulacie asfaltowym wystarcza oznacze-</w:t>
            </w:r>
          </w:p>
          <w:p>
            <w:pPr>
              <w:pStyle w:val="Normal"/>
              <w:spacing w:lineRule="auto" w:line="259" w:before="0" w:after="0"/>
              <w:ind w:left="0" w:right="0" w:hanging="0"/>
              <w:rPr/>
            </w:pPr>
            <w:r>
              <w:rPr/>
              <w:t xml:space="preserve">nie temperatury mięknienia PiK. Tylko w szczególnych przypadkach należy wykonać oznaczenie penetracji. Oceny właściwości lepiszcza należy dokonać wg pktu 4.2.2. normy PN-EN 13108-8 </w:t>
            </w:r>
          </w:p>
        </w:tc>
      </w:tr>
    </w:tbl>
    <w:p>
      <w:pPr>
        <w:pStyle w:val="Normal"/>
        <w:spacing w:lineRule="auto" w:line="259" w:before="0" w:after="38"/>
        <w:ind w:left="970" w:right="0" w:hanging="0"/>
        <w:jc w:val="left"/>
        <w:rPr/>
      </w:pPr>
      <w:r>
        <w:rPr/>
      </w:r>
    </w:p>
    <w:p>
      <w:pPr>
        <w:pStyle w:val="Normal"/>
        <w:spacing w:before="0" w:after="36"/>
        <w:ind w:left="256" w:right="461" w:firstLine="708"/>
        <w:rPr/>
      </w:pPr>
      <w:r>
        <w:rPr/>
        <w:t xml:space="preserve">Zawartość materiałów obcych w granulacie asfaltowym, oznaczona wg PN-EN 12697-42, powinna spełniać wymagania podane w tablicy 10. </w:t>
      </w:r>
    </w:p>
    <w:p>
      <w:pPr>
        <w:pStyle w:val="Normal"/>
        <w:spacing w:lineRule="auto" w:line="259" w:before="0" w:after="52"/>
        <w:ind w:left="970" w:right="0" w:hanging="0"/>
        <w:jc w:val="left"/>
        <w:rPr/>
      </w:pPr>
      <w:r>
        <w:rPr/>
      </w:r>
    </w:p>
    <w:p>
      <w:pPr>
        <w:pStyle w:val="Normal"/>
        <w:ind w:left="980" w:right="461" w:hanging="10"/>
        <w:rPr/>
      </w:pPr>
      <w:r>
        <w:rPr/>
        <w:t xml:space="preserve">Tablica 10. Zawartość materiałów obcych w granulacie asfaltowym </w:t>
      </w:r>
    </w:p>
    <w:tbl>
      <w:tblPr>
        <w:tblStyle w:val="TableGrid"/>
        <w:tblW w:w="9060" w:type="dxa"/>
        <w:jc w:val="left"/>
        <w:tblInd w:w="149" w:type="dxa"/>
        <w:tblBorders>
          <w:top w:val="single" w:sz="4" w:space="0" w:color="000001"/>
          <w:left w:val="single" w:sz="4" w:space="0" w:color="000001"/>
          <w:bottom w:val="single" w:sz="4" w:space="0" w:color="000001"/>
          <w:insideH w:val="single" w:sz="4" w:space="0" w:color="000001"/>
        </w:tblBorders>
        <w:tblCellMar>
          <w:top w:w="12" w:type="dxa"/>
          <w:left w:w="806" w:type="dxa"/>
          <w:bottom w:w="0" w:type="dxa"/>
          <w:right w:w="115" w:type="dxa"/>
        </w:tblCellMar>
        <w:tblLook w:val="04a0"/>
      </w:tblPr>
      <w:tblGrid>
        <w:gridCol w:w="3020"/>
        <w:gridCol w:w="3020"/>
        <w:gridCol w:w="3020"/>
      </w:tblGrid>
      <w:tr>
        <w:trPr>
          <w:trHeight w:val="276" w:hRule="atLeast"/>
        </w:trPr>
        <w:tc>
          <w:tcPr>
            <w:tcW w:w="3020" w:type="dxa"/>
            <w:tcBorders>
              <w:top w:val="single" w:sz="4" w:space="0" w:color="000001"/>
              <w:left w:val="single" w:sz="4" w:space="0" w:color="000001"/>
              <w:bottom w:val="single" w:sz="4" w:space="0" w:color="000001"/>
              <w:insideH w:val="single" w:sz="4" w:space="0" w:color="000001"/>
            </w:tcBorders>
            <w:shd w:color="auto" w:fill="auto" w:val="clear"/>
            <w:tcMar>
              <w:left w:w="806" w:type="dxa"/>
            </w:tcMar>
          </w:tcPr>
          <w:p>
            <w:pPr>
              <w:pStyle w:val="Normal"/>
              <w:spacing w:lineRule="auto" w:line="259" w:before="0" w:after="0"/>
              <w:ind w:left="0" w:right="656" w:hanging="0"/>
              <w:jc w:val="center"/>
              <w:rPr/>
            </w:pPr>
            <w:r>
              <w:rPr/>
              <w:t xml:space="preserve">Materiały obce * </w:t>
            </w:r>
          </w:p>
        </w:tc>
        <w:tc>
          <w:tcPr>
            <w:tcW w:w="3020" w:type="dxa"/>
            <w:tcBorders>
              <w:top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16" w:type="dxa"/>
            </w:tcMar>
          </w:tcPr>
          <w:p>
            <w:pPr>
              <w:pStyle w:val="Normal"/>
              <w:spacing w:lineRule="auto" w:line="259" w:before="0" w:after="0"/>
              <w:ind w:left="0" w:right="0" w:hanging="0"/>
              <w:jc w:val="left"/>
              <w:rPr/>
            </w:pPr>
            <w:r>
              <w:rPr/>
            </w:r>
          </w:p>
        </w:tc>
        <w:tc>
          <w:tcPr>
            <w:tcW w:w="30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06" w:type="dxa"/>
            </w:tcMar>
          </w:tcPr>
          <w:p>
            <w:pPr>
              <w:pStyle w:val="Normal"/>
              <w:spacing w:lineRule="auto" w:line="259" w:before="0" w:after="0"/>
              <w:ind w:left="1" w:right="0" w:hanging="0"/>
              <w:jc w:val="left"/>
              <w:rPr/>
            </w:pPr>
            <w:r>
              <w:rPr/>
              <w:t xml:space="preserve">Kategoria </w:t>
            </w:r>
          </w:p>
        </w:tc>
      </w:tr>
      <w:tr>
        <w:trPr>
          <w:trHeight w:val="274" w:hRule="atLeast"/>
        </w:trPr>
        <w:tc>
          <w:tcPr>
            <w:tcW w:w="30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06" w:type="dxa"/>
            </w:tcMar>
          </w:tcPr>
          <w:p>
            <w:pPr>
              <w:pStyle w:val="Normal"/>
              <w:spacing w:lineRule="auto" w:line="259" w:before="0" w:after="0"/>
              <w:ind w:left="0" w:right="555" w:hanging="0"/>
              <w:jc w:val="center"/>
              <w:rPr/>
            </w:pPr>
            <w:r>
              <w:rPr/>
              <w:t xml:space="preserve">Grupa 1, %(m/m) </w:t>
            </w:r>
          </w:p>
        </w:tc>
        <w:tc>
          <w:tcPr>
            <w:tcW w:w="30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06" w:type="dxa"/>
            </w:tcMar>
          </w:tcPr>
          <w:p>
            <w:pPr>
              <w:pStyle w:val="Normal"/>
              <w:spacing w:lineRule="auto" w:line="259" w:before="0" w:after="0"/>
              <w:ind w:left="0" w:right="555" w:hanging="0"/>
              <w:jc w:val="center"/>
              <w:rPr/>
            </w:pPr>
            <w:r>
              <w:rPr/>
              <w:t xml:space="preserve">Grupa 2, %(m/m) </w:t>
            </w:r>
          </w:p>
        </w:tc>
        <w:tc>
          <w:tcPr>
            <w:tcW w:w="30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06" w:type="dxa"/>
            </w:tcMar>
          </w:tcPr>
          <w:p>
            <w:pPr>
              <w:pStyle w:val="Normal"/>
              <w:spacing w:lineRule="auto" w:line="259" w:before="0" w:after="0"/>
              <w:ind w:left="1" w:right="0" w:hanging="0"/>
              <w:jc w:val="left"/>
              <w:rPr/>
            </w:pPr>
            <w:r>
              <w:rPr/>
              <w:t xml:space="preserve">PM </w:t>
            </w:r>
          </w:p>
        </w:tc>
      </w:tr>
      <w:tr>
        <w:trPr>
          <w:trHeight w:val="276" w:hRule="atLeast"/>
        </w:trPr>
        <w:tc>
          <w:tcPr>
            <w:tcW w:w="30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06" w:type="dxa"/>
            </w:tcMar>
          </w:tcPr>
          <w:p>
            <w:pPr>
              <w:pStyle w:val="Normal"/>
              <w:spacing w:lineRule="auto" w:line="259" w:before="0" w:after="0"/>
              <w:ind w:left="0" w:right="0" w:hanging="0"/>
              <w:jc w:val="left"/>
              <w:rPr/>
            </w:pPr>
            <w:r>
              <w:rPr/>
              <w:t xml:space="preserve">&lt; 1 </w:t>
            </w:r>
          </w:p>
        </w:tc>
        <w:tc>
          <w:tcPr>
            <w:tcW w:w="30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06" w:type="dxa"/>
            </w:tcMar>
          </w:tcPr>
          <w:p>
            <w:pPr>
              <w:pStyle w:val="Normal"/>
              <w:spacing w:lineRule="auto" w:line="259" w:before="0" w:after="0"/>
              <w:ind w:left="0" w:right="0" w:hanging="0"/>
              <w:jc w:val="left"/>
              <w:rPr/>
            </w:pPr>
            <w:r>
              <w:rPr/>
              <w:t xml:space="preserve">&lt; 0,1 </w:t>
            </w:r>
          </w:p>
        </w:tc>
        <w:tc>
          <w:tcPr>
            <w:tcW w:w="30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806" w:type="dxa"/>
            </w:tcMar>
          </w:tcPr>
          <w:p>
            <w:pPr>
              <w:pStyle w:val="Normal"/>
              <w:spacing w:lineRule="auto" w:line="259" w:before="0" w:after="0"/>
              <w:ind w:left="1" w:right="0" w:hanging="0"/>
              <w:jc w:val="left"/>
              <w:rPr/>
            </w:pPr>
            <w:r>
              <w:rPr/>
              <w:t xml:space="preserve">PM1/0,1 </w:t>
            </w:r>
          </w:p>
        </w:tc>
      </w:tr>
    </w:tbl>
    <w:p>
      <w:pPr>
        <w:pStyle w:val="Normal"/>
        <w:ind w:left="980" w:right="461" w:hanging="10"/>
        <w:rPr/>
      </w:pPr>
      <w:r>
        <w:rPr/>
        <w:t xml:space="preserve">* materiały obce grupy 1 i 2 zgodnie z p. 4.1. normy PN-EN 13108-8 </w:t>
      </w:r>
    </w:p>
    <w:p>
      <w:pPr>
        <w:pStyle w:val="Normal"/>
        <w:spacing w:lineRule="auto" w:line="259" w:before="0" w:after="0"/>
        <w:ind w:left="970" w:right="0" w:hanging="0"/>
        <w:jc w:val="left"/>
        <w:rPr/>
      </w:pPr>
      <w:r>
        <w:rPr/>
      </w:r>
    </w:p>
    <w:p>
      <w:pPr>
        <w:pStyle w:val="Normal"/>
        <w:spacing w:before="0" w:after="32"/>
        <w:ind w:left="256" w:right="461" w:firstLine="708"/>
        <w:rPr/>
      </w:pPr>
      <w:r>
        <w:rPr/>
        <w:t xml:space="preserve">Wymiar D kruszywa zawartego w granulacie asfaltowym nie może być większy od wymiaru D mieszanki mineralnej wchodzącej w skład mieszanki mineralno-asfaltowej. </w:t>
      </w:r>
    </w:p>
    <w:p>
      <w:pPr>
        <w:pStyle w:val="Normal"/>
        <w:spacing w:before="0" w:after="39"/>
        <w:ind w:left="980" w:right="461" w:hanging="10"/>
        <w:rPr/>
      </w:pPr>
      <w:r>
        <w:rPr/>
        <w:t xml:space="preserve">Do obliczania temperatury mięknienia mieszaniny lepiszcza z granulatu asfaltowego </w:t>
      </w:r>
    </w:p>
    <w:p>
      <w:pPr>
        <w:pStyle w:val="Normal"/>
        <w:ind w:left="266" w:right="461" w:hanging="10"/>
        <w:rPr/>
      </w:pPr>
      <w:r>
        <w:rPr/>
        <w:t xml:space="preserve">i dodanego asfaltu należy, zgodnie z PN-EN 13108-1, załącznik a, pkt A.3, stosować następujące równanie: </w:t>
      </w:r>
    </w:p>
    <w:p>
      <w:pPr>
        <w:pStyle w:val="Normal"/>
        <w:spacing w:lineRule="auto" w:line="259" w:before="0" w:after="65"/>
        <w:ind w:left="970" w:right="0" w:hanging="0"/>
        <w:jc w:val="left"/>
        <w:rPr/>
      </w:pPr>
      <w:r>
        <w:rPr/>
      </w:r>
    </w:p>
    <w:p>
      <w:pPr>
        <w:pStyle w:val="Normal"/>
        <w:spacing w:lineRule="auto" w:line="259" w:before="0" w:after="18"/>
        <w:ind w:left="970" w:right="0" w:hanging="0"/>
        <w:jc w:val="left"/>
        <w:rPr/>
      </w:pPr>
      <w:r>
        <w:rPr/>
        <w:t>T</w:t>
      </w:r>
      <w:r>
        <w:rPr>
          <w:sz w:val="13"/>
        </w:rPr>
        <w:t>PiKmix</w:t>
      </w:r>
      <w:r>
        <w:rPr/>
        <w:t xml:space="preserve"> = axT</w:t>
      </w:r>
      <w:r>
        <w:rPr>
          <w:sz w:val="13"/>
        </w:rPr>
        <w:t>PiK1</w:t>
      </w:r>
      <w:r>
        <w:rPr/>
        <w:t xml:space="preserve"> + bxT</w:t>
      </w:r>
      <w:r>
        <w:rPr>
          <w:sz w:val="13"/>
        </w:rPr>
        <w:t>PiK2</w:t>
      </w:r>
    </w:p>
    <w:p>
      <w:pPr>
        <w:pStyle w:val="Normal"/>
        <w:spacing w:lineRule="auto" w:line="259" w:before="0" w:after="50"/>
        <w:ind w:left="970" w:right="0" w:hanging="0"/>
        <w:jc w:val="left"/>
        <w:rPr/>
      </w:pPr>
      <w:r>
        <w:rPr/>
      </w:r>
    </w:p>
    <w:p>
      <w:pPr>
        <w:pStyle w:val="Normal"/>
        <w:spacing w:before="0" w:after="48"/>
        <w:ind w:left="980" w:right="461" w:hanging="10"/>
        <w:rPr/>
      </w:pPr>
      <w:r>
        <w:rPr/>
        <w:t xml:space="preserve">w którym: </w:t>
      </w:r>
    </w:p>
    <w:p>
      <w:pPr>
        <w:pStyle w:val="Normal"/>
        <w:spacing w:lineRule="auto" w:line="319"/>
        <w:ind w:left="256" w:right="461" w:firstLine="708"/>
        <w:rPr/>
      </w:pPr>
      <w:r>
        <w:rPr/>
        <w:t>T</w:t>
      </w:r>
      <w:r>
        <w:rPr>
          <w:vertAlign w:val="subscript"/>
        </w:rPr>
        <w:t>PiKmix</w:t>
      </w:r>
      <w:r>
        <w:rPr/>
        <w:t xml:space="preserve"> temperatura mięknienia mieszanki lepiszczy w mieszance mineralno-asfaltowej z dodatkiem granulatu asfaltowego, [°C], </w:t>
      </w:r>
    </w:p>
    <w:p>
      <w:pPr>
        <w:pStyle w:val="Normal"/>
        <w:spacing w:before="0" w:after="31"/>
        <w:ind w:left="256" w:right="461" w:firstLine="708"/>
        <w:rPr/>
      </w:pPr>
      <w:r>
        <w:rPr/>
        <w:t>T</w:t>
      </w:r>
      <w:r>
        <w:rPr>
          <w:vertAlign w:val="subscript"/>
        </w:rPr>
        <w:t>PiK1</w:t>
      </w:r>
      <w:r>
        <w:rPr/>
        <w:t xml:space="preserve">  temperatura mięknienia lepiszcza odzyskanego z granulatu asfaltowego, [°C], T</w:t>
      </w:r>
      <w:r>
        <w:rPr>
          <w:vertAlign w:val="subscript"/>
        </w:rPr>
        <w:t>PiK2</w:t>
      </w:r>
      <w:r>
        <w:rPr/>
        <w:t xml:space="preserve"> średnia temperatura mięknienia dodanego lepiszcza asfaltowego [°C], a i b  udział masowy: lepiszcza z granulatu asfaltowego (a) i dodanego lepiszcza (b), przy a + b = 1 </w:t>
      </w:r>
    </w:p>
    <w:p>
      <w:pPr>
        <w:pStyle w:val="Normal"/>
        <w:spacing w:lineRule="auto" w:line="259" w:before="0" w:after="43"/>
        <w:ind w:left="970" w:right="0" w:hanging="0"/>
        <w:jc w:val="left"/>
        <w:rPr/>
      </w:pPr>
      <w:r>
        <w:rPr/>
      </w:r>
    </w:p>
    <w:p>
      <w:pPr>
        <w:pStyle w:val="Nagwek3"/>
        <w:tabs>
          <w:tab w:val="center" w:pos="954" w:leader="none"/>
          <w:tab w:val="center" w:pos="4023" w:leader="none"/>
        </w:tabs>
        <w:ind w:left="0" w:right="470" w:hanging="0"/>
        <w:rPr/>
      </w:pPr>
      <w:r>
        <w:rPr>
          <w:rFonts w:eastAsia="Calibri" w:cs="Calibri" w:ascii="Calibri" w:hAnsi="Calibri"/>
          <w:b w:val="false"/>
          <w:sz w:val="22"/>
        </w:rPr>
        <w:tab/>
      </w:r>
      <w:r>
        <w:rPr/>
        <w:t xml:space="preserve">2.2.3.1. </w:t>
        <w:tab/>
        <w:t xml:space="preserve">Jednorodność granulatu asfaltowego </w:t>
      </w:r>
    </w:p>
    <w:p>
      <w:pPr>
        <w:pStyle w:val="Normal"/>
        <w:spacing w:lineRule="auto" w:line="259" w:before="0" w:after="51"/>
        <w:ind w:left="970" w:right="0" w:hanging="0"/>
        <w:jc w:val="left"/>
        <w:rPr/>
      </w:pPr>
      <w:r>
        <w:rPr/>
      </w:r>
    </w:p>
    <w:p>
      <w:pPr>
        <w:pStyle w:val="Normal"/>
        <w:spacing w:before="0" w:after="36"/>
        <w:ind w:left="256" w:right="461" w:firstLine="708"/>
        <w:rPr/>
      </w:pPr>
      <w:r>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pPr>
        <w:pStyle w:val="Normal"/>
        <w:spacing w:before="0" w:after="27"/>
        <w:ind w:left="256" w:right="461" w:firstLine="708"/>
        <w:rPr/>
      </w:pPr>
      <w:r>
        <w:rPr/>
        <w:t xml:space="preserve">Wymagane jest podanie zmierzonej wartości jednorodności rozstępu wyników badań właściwości przeprowadzonych na liczbie próbek n, przy czym n powinno wynosić co najmniej 5. Liczbę próbek oblicza się, dzieląc masę materiału wyjściowego podanego w tonach [t], przez 500, zaokrąglając w górę do pełnej liczby. </w:t>
      </w:r>
    </w:p>
    <w:p>
      <w:pPr>
        <w:pStyle w:val="Normal"/>
        <w:ind w:left="256" w:right="461" w:firstLine="708"/>
        <w:rPr/>
      </w:pPr>
      <w:r>
        <w:rPr/>
        <w:t xml:space="preserve">Wymagania dotyczące dopuszczalnego rozstępu wyników badań granulatu asfaltowego podano w tablicy 11. </w:t>
      </w:r>
    </w:p>
    <w:p>
      <w:pPr>
        <w:pStyle w:val="Normal"/>
        <w:spacing w:lineRule="auto" w:line="259" w:before="0" w:after="52"/>
        <w:ind w:left="970" w:right="0" w:hanging="0"/>
        <w:jc w:val="left"/>
        <w:rPr/>
      </w:pPr>
      <w:r>
        <w:rPr/>
      </w:r>
    </w:p>
    <w:p>
      <w:pPr>
        <w:pStyle w:val="Normal"/>
        <w:ind w:left="980" w:right="461" w:hanging="10"/>
        <w:rPr/>
      </w:pPr>
      <w:r>
        <w:rPr/>
        <w:t xml:space="preserve">Tablica 11. Dopuszczalny rozstęp wyników badań właściwości </w:t>
      </w:r>
    </w:p>
    <w:tbl>
      <w:tblPr>
        <w:tblStyle w:val="TableGrid"/>
        <w:tblW w:w="9060"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98" w:type="dxa"/>
          <w:bottom w:w="0" w:type="dxa"/>
          <w:right w:w="57" w:type="dxa"/>
        </w:tblCellMar>
        <w:tblLook w:val="04a0"/>
      </w:tblPr>
      <w:tblGrid>
        <w:gridCol w:w="4530"/>
        <w:gridCol w:w="4529"/>
      </w:tblGrid>
      <w:tr>
        <w:trPr>
          <w:trHeight w:val="1068" w:hRule="atLeast"/>
        </w:trPr>
        <w:tc>
          <w:tcPr>
            <w:tcW w:w="4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708" w:right="0" w:hanging="0"/>
              <w:jc w:val="left"/>
              <w:rPr/>
            </w:pPr>
            <w:r>
              <w:rPr/>
              <w:t xml:space="preserve">Właściwości </w:t>
            </w:r>
          </w:p>
        </w:tc>
        <w:tc>
          <w:tcPr>
            <w:tcW w:w="4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5" w:firstLine="708"/>
              <w:rPr/>
            </w:pPr>
            <w:r>
              <w:rPr/>
              <w:t>Dopuszczalny rozstęp wyników badań (T</w:t>
            </w:r>
            <w:r>
              <w:rPr>
                <w:vertAlign w:val="subscript"/>
              </w:rPr>
              <w:t>roz</w:t>
            </w:r>
            <w:r>
              <w:rPr/>
              <w:t xml:space="preserve">) partii granulatu asfaltowego do zastosowania w mieszance mineralno asfaltowej przeznaczonej do wiążącej </w:t>
            </w:r>
          </w:p>
        </w:tc>
      </w:tr>
      <w:tr>
        <w:trPr>
          <w:trHeight w:val="538" w:hRule="atLeast"/>
        </w:trPr>
        <w:tc>
          <w:tcPr>
            <w:tcW w:w="4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firstLine="708"/>
              <w:rPr/>
            </w:pPr>
            <w:r>
              <w:rPr/>
              <w:t xml:space="preserve">Temperatura mięknienia lepiszcza odzyskanego, </w:t>
            </w:r>
            <w:r>
              <w:rPr>
                <w:vertAlign w:val="superscript"/>
              </w:rPr>
              <w:t>O</w:t>
            </w:r>
            <w:r>
              <w:rPr/>
              <w:t xml:space="preserve">C </w:t>
            </w:r>
          </w:p>
        </w:tc>
        <w:tc>
          <w:tcPr>
            <w:tcW w:w="4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708" w:right="0" w:hanging="0"/>
              <w:jc w:val="left"/>
              <w:rPr/>
            </w:pPr>
            <w:r>
              <w:rPr/>
              <w:t xml:space="preserve">8,0 </w:t>
            </w:r>
          </w:p>
        </w:tc>
      </w:tr>
      <w:tr>
        <w:trPr>
          <w:trHeight w:val="274" w:hRule="atLeast"/>
        </w:trPr>
        <w:tc>
          <w:tcPr>
            <w:tcW w:w="4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Zawartość lepiszcza, %(m/m) </w:t>
            </w:r>
          </w:p>
        </w:tc>
        <w:tc>
          <w:tcPr>
            <w:tcW w:w="4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708" w:right="0" w:hanging="0"/>
              <w:jc w:val="left"/>
              <w:rPr/>
            </w:pPr>
            <w:r>
              <w:rPr/>
              <w:t xml:space="preserve">1,0 </w:t>
            </w:r>
          </w:p>
        </w:tc>
      </w:tr>
      <w:tr>
        <w:trPr>
          <w:trHeight w:val="540" w:hRule="atLeast"/>
        </w:trPr>
        <w:tc>
          <w:tcPr>
            <w:tcW w:w="4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firstLine="708"/>
              <w:rPr/>
            </w:pPr>
            <w:r>
              <w:rPr/>
              <w:t xml:space="preserve">Kruszywo uziarnieniu poniżej 0,063 mm, %(m/m) </w:t>
            </w:r>
          </w:p>
        </w:tc>
        <w:tc>
          <w:tcPr>
            <w:tcW w:w="4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708" w:right="0" w:hanging="0"/>
              <w:jc w:val="left"/>
              <w:rPr/>
            </w:pPr>
            <w:r>
              <w:rPr/>
              <w:t xml:space="preserve">6,0 </w:t>
            </w:r>
          </w:p>
        </w:tc>
      </w:tr>
      <w:tr>
        <w:trPr>
          <w:trHeight w:val="540" w:hRule="atLeast"/>
        </w:trPr>
        <w:tc>
          <w:tcPr>
            <w:tcW w:w="4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firstLine="708"/>
              <w:rPr/>
            </w:pPr>
            <w:r>
              <w:rPr/>
              <w:t xml:space="preserve">Kruszywo o uziarnieniu od 0,063 do 2 mm, %(m/m) </w:t>
            </w:r>
          </w:p>
        </w:tc>
        <w:tc>
          <w:tcPr>
            <w:tcW w:w="4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708" w:right="0" w:hanging="0"/>
              <w:jc w:val="left"/>
              <w:rPr/>
            </w:pPr>
            <w:r>
              <w:rPr/>
              <w:t xml:space="preserve">16,0 </w:t>
            </w:r>
          </w:p>
        </w:tc>
      </w:tr>
      <w:tr>
        <w:trPr>
          <w:trHeight w:val="538" w:hRule="atLeast"/>
        </w:trPr>
        <w:tc>
          <w:tcPr>
            <w:tcW w:w="4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firstLine="708"/>
              <w:rPr/>
            </w:pPr>
            <w:r>
              <w:rPr/>
              <w:t xml:space="preserve">Kruszywo o uziarnieniu powyżej 2 mm, %(m/m) </w:t>
            </w:r>
          </w:p>
        </w:tc>
        <w:tc>
          <w:tcPr>
            <w:tcW w:w="4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spacing w:lineRule="auto" w:line="259" w:before="0" w:after="0"/>
              <w:ind w:left="708" w:right="0" w:hanging="0"/>
              <w:jc w:val="left"/>
              <w:rPr/>
            </w:pPr>
            <w:r>
              <w:rPr/>
              <w:t xml:space="preserve">16,0 </w:t>
            </w:r>
          </w:p>
        </w:tc>
      </w:tr>
    </w:tbl>
    <w:p>
      <w:pPr>
        <w:pStyle w:val="Normal"/>
        <w:spacing w:lineRule="auto" w:line="259" w:before="0" w:after="47"/>
        <w:ind w:left="970" w:right="0" w:hanging="0"/>
        <w:jc w:val="left"/>
        <w:rPr/>
      </w:pPr>
      <w:r>
        <w:rPr/>
      </w:r>
    </w:p>
    <w:p>
      <w:pPr>
        <w:pStyle w:val="Nagwek3"/>
        <w:tabs>
          <w:tab w:val="center" w:pos="954" w:leader="none"/>
          <w:tab w:val="center" w:pos="4691" w:leader="none"/>
        </w:tabs>
        <w:ind w:left="0" w:right="470" w:hanging="0"/>
        <w:rPr/>
      </w:pPr>
      <w:r>
        <w:rPr>
          <w:rFonts w:eastAsia="Calibri" w:cs="Calibri" w:ascii="Calibri" w:hAnsi="Calibri"/>
          <w:b w:val="false"/>
          <w:sz w:val="22"/>
        </w:rPr>
        <w:tab/>
      </w:r>
      <w:r>
        <w:rPr/>
        <w:t xml:space="preserve">2.2.3.2. </w:t>
        <w:tab/>
        <w:t xml:space="preserve">Deklarowanie właściwości w granulatu asfaltowego </w:t>
      </w:r>
    </w:p>
    <w:p>
      <w:pPr>
        <w:pStyle w:val="Normal"/>
        <w:spacing w:lineRule="auto" w:line="259" w:before="0" w:after="52"/>
        <w:ind w:left="970" w:right="0" w:hanging="0"/>
        <w:jc w:val="left"/>
        <w:rPr/>
      </w:pPr>
      <w:r>
        <w:rPr/>
      </w:r>
    </w:p>
    <w:p>
      <w:pPr>
        <w:pStyle w:val="Normal"/>
        <w:spacing w:before="0" w:after="55"/>
        <w:ind w:left="980" w:right="461" w:hanging="10"/>
        <w:rPr/>
      </w:pPr>
      <w:r>
        <w:rPr/>
        <w:t xml:space="preserve">W opisie granulatu asfaltowego producent powinien zadeklarować: </w:t>
      </w:r>
    </w:p>
    <w:p>
      <w:pPr>
        <w:pStyle w:val="Normal"/>
        <w:spacing w:before="0" w:after="43"/>
        <w:ind w:left="982" w:right="461" w:hanging="360"/>
        <w:rPr/>
      </w:pPr>
      <w:r>
        <w:rPr>
          <w:rFonts w:eastAsia="Segoe UI Symbol" w:cs="Segoe UI Symbol" w:ascii="Segoe UI Symbol" w:hAnsi="Segoe UI Symbol"/>
        </w:rPr>
        <w:t></w:t>
      </w:r>
      <w:r>
        <w:rPr/>
        <w:t xml:space="preserve">typ mieszanki lub mieszanek, z których pochodzi granulat (np. AC 16 S, droga DK 5), nie dopuszcza się do stosowania granulatu, którego pochodzenia nie można udokumentować i zadeklarować, </w:t>
      </w:r>
    </w:p>
    <w:p>
      <w:pPr>
        <w:pStyle w:val="Normal"/>
        <w:ind w:left="632" w:right="461" w:hanging="10"/>
        <w:rPr/>
      </w:pPr>
      <w:r>
        <w:rPr>
          <w:rFonts w:eastAsia="Segoe UI Symbol" w:cs="Segoe UI Symbol" w:ascii="Segoe UI Symbol" w:hAnsi="Segoe UI Symbol"/>
        </w:rPr>
        <w:t></w:t>
      </w:r>
      <w:r>
        <w:rPr/>
        <w:t xml:space="preserve">rodzaj kruszywa i średnie uziarnienie, </w:t>
      </w:r>
    </w:p>
    <w:p>
      <w:pPr>
        <w:pStyle w:val="Normal"/>
        <w:ind w:left="982" w:right="461" w:hanging="360"/>
        <w:rPr/>
      </w:pPr>
      <w:r>
        <w:rPr>
          <w:rFonts w:eastAsia="Segoe UI Symbol" w:cs="Segoe UI Symbol" w:ascii="Segoe UI Symbol" w:hAnsi="Segoe UI Symbol"/>
        </w:rPr>
        <w:t></w:t>
      </w:r>
      <w:r>
        <w:rPr/>
        <w:t xml:space="preserve">typ lepiszcza, średnią zawartość lepiszcza i średnią temperaturę mięknienia lepiszcza odzyskanego, </w:t>
      </w:r>
    </w:p>
    <w:p>
      <w:pPr>
        <w:pStyle w:val="Normal"/>
        <w:ind w:left="632" w:right="461" w:hanging="10"/>
        <w:rPr/>
      </w:pPr>
      <w:r>
        <w:rPr>
          <w:rFonts w:eastAsia="Segoe UI Symbol" w:cs="Segoe UI Symbol" w:ascii="Segoe UI Symbol" w:hAnsi="Segoe UI Symbol"/>
        </w:rPr>
        <w:t></w:t>
      </w:r>
      <w:r>
        <w:rPr/>
        <w:t xml:space="preserve">maksymalną wielkość kawałków granulatu asfaltowego U GRA D/d. </w:t>
      </w:r>
    </w:p>
    <w:p>
      <w:pPr>
        <w:pStyle w:val="Normal"/>
        <w:ind w:left="256" w:right="461" w:firstLine="708"/>
        <w:rPr/>
      </w:pPr>
      <w:r>
        <w:rPr/>
        <w:t xml:space="preserve">Właściwości kruszywa z granulatu asfaltowego powinny spełniać wymagania określone dla kruszywa w danej mieszance mineralno-asfaltowej. </w:t>
      </w:r>
    </w:p>
    <w:p>
      <w:pPr>
        <w:pStyle w:val="Normal"/>
        <w:spacing w:before="0" w:after="36"/>
        <w:ind w:left="256" w:right="461" w:firstLine="708"/>
        <w:rPr/>
      </w:pPr>
      <w:r>
        <w:rPr/>
        <w:t xml:space="preserve">Dopuszcza się deklarowanie właściwości kruszywa mineralnego w granulacie asfaltowym na podstawie udokumentowanego wcześniej zastosowania. </w:t>
      </w:r>
    </w:p>
    <w:p>
      <w:pPr>
        <w:pStyle w:val="Normal"/>
        <w:spacing w:lineRule="auto" w:line="259" w:before="0" w:after="17"/>
        <w:ind w:left="970" w:right="0" w:hanging="0"/>
        <w:jc w:val="left"/>
        <w:rPr/>
      </w:pPr>
      <w:r>
        <w:rPr/>
      </w:r>
    </w:p>
    <w:p>
      <w:pPr>
        <w:pStyle w:val="Nagwek3"/>
        <w:tabs>
          <w:tab w:val="center" w:pos="954" w:leader="none"/>
          <w:tab w:val="center" w:pos="4302" w:leader="none"/>
        </w:tabs>
        <w:ind w:left="0" w:right="470" w:hanging="0"/>
        <w:rPr/>
      </w:pPr>
      <w:r>
        <w:rPr>
          <w:rFonts w:eastAsia="Calibri" w:cs="Calibri" w:ascii="Calibri" w:hAnsi="Calibri"/>
          <w:b w:val="false"/>
          <w:sz w:val="22"/>
        </w:rPr>
        <w:tab/>
      </w:r>
      <w:r>
        <w:rPr/>
        <w:t xml:space="preserve">2.2.3.3. </w:t>
        <w:tab/>
        <w:t xml:space="preserve">Warunki stosowania granulatu asfaltowego </w:t>
      </w:r>
    </w:p>
    <w:p>
      <w:pPr>
        <w:pStyle w:val="Normal"/>
        <w:spacing w:lineRule="auto" w:line="259" w:before="0" w:after="51"/>
        <w:ind w:left="970" w:right="0" w:hanging="0"/>
        <w:jc w:val="left"/>
        <w:rPr/>
      </w:pPr>
      <w:r>
        <w:rPr/>
      </w:r>
    </w:p>
    <w:p>
      <w:pPr>
        <w:pStyle w:val="Normal"/>
        <w:spacing w:before="0" w:after="39"/>
        <w:ind w:left="256" w:right="461" w:firstLine="708"/>
        <w:rPr/>
      </w:pPr>
      <w:r>
        <w:rPr/>
        <w:t xml:space="preserve">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 </w:t>
      </w:r>
    </w:p>
    <w:p>
      <w:pPr>
        <w:pStyle w:val="Normal"/>
        <w:spacing w:before="0" w:after="26"/>
        <w:ind w:left="256" w:right="461" w:firstLine="708"/>
        <w:rPr/>
      </w:pPr>
      <w:r>
        <w:rPr/>
        <w:t xml:space="preserve">Granulat dodawany na zimno wymaga wyższego podgrzewania kruszywa zgodnie z Rysunkiem 1. Jeżeli granulat asfaltowy jest wilgotny to należy temperaturę kruszywa jeszcze podnieść o korektę z tablicy 12. Pole szare w tablicy oznacza niepożądaną wilgotność oraz duży spadek efektywności suszarki i otaczarki. </w:t>
      </w:r>
    </w:p>
    <w:p>
      <w:pPr>
        <w:pStyle w:val="Normal"/>
        <w:spacing w:lineRule="auto" w:line="259" w:before="0" w:after="9"/>
        <w:ind w:left="970" w:right="0" w:hanging="0"/>
        <w:jc w:val="left"/>
        <w:rPr/>
      </w:pPr>
      <w:r>
        <w:rPr/>
      </w:r>
    </w:p>
    <w:p>
      <w:pPr>
        <w:pStyle w:val="Normal"/>
        <w:spacing w:lineRule="auto" w:line="259" w:before="0" w:after="8"/>
        <w:ind w:left="0" w:right="0" w:hanging="0"/>
        <w:jc w:val="right"/>
        <w:rPr/>
      </w:pPr>
      <w:r>
        <w:rPr/>
        <w:drawing>
          <wp:inline distT="0" distB="0" distL="0" distR="0">
            <wp:extent cx="5753100" cy="3684905"/>
            <wp:effectExtent l="0" t="0" r="0" b="0"/>
            <wp:docPr id="2" name="Picture 40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49" descr=""/>
                    <pic:cNvPicPr>
                      <a:picLocks noChangeAspect="1" noChangeArrowheads="1"/>
                    </pic:cNvPicPr>
                  </pic:nvPicPr>
                  <pic:blipFill>
                    <a:blip r:embed="rId2"/>
                    <a:stretch>
                      <a:fillRect/>
                    </a:stretch>
                  </pic:blipFill>
                  <pic:spPr bwMode="auto">
                    <a:xfrm>
                      <a:off x="0" y="0"/>
                      <a:ext cx="5753100" cy="3684905"/>
                    </a:xfrm>
                    <a:prstGeom prst="rect">
                      <a:avLst/>
                    </a:prstGeom>
                  </pic:spPr>
                </pic:pic>
              </a:graphicData>
            </a:graphic>
          </wp:inline>
        </w:drawing>
      </w:r>
    </w:p>
    <w:p>
      <w:pPr>
        <w:pStyle w:val="Normal"/>
        <w:ind w:left="266" w:right="461" w:hanging="10"/>
        <w:rPr/>
      </w:pPr>
      <w:r>
        <w:rPr/>
        <w:t xml:space="preserve">Rysunek 1. Temperatura kruszywa w zależności od ilości zimnego i suchego granulatu asfaltowego </w:t>
      </w:r>
    </w:p>
    <w:p>
      <w:pPr>
        <w:pStyle w:val="Normal"/>
        <w:spacing w:lineRule="auto" w:line="259" w:before="0" w:after="17"/>
        <w:ind w:left="970" w:right="0" w:hanging="0"/>
        <w:jc w:val="left"/>
        <w:rPr/>
      </w:pPr>
      <w:r>
        <w:rPr/>
      </w:r>
    </w:p>
    <w:p>
      <w:pPr>
        <w:pStyle w:val="Normal"/>
        <w:ind w:left="256" w:right="461" w:firstLine="708"/>
        <w:rPr/>
      </w:pPr>
      <w:r>
        <w:rPr/>
        <w:t xml:space="preserve">Należy oznaczyć wilgotność granulatu asfaltowego i skorygować temperaturę produkcji mma zgodnie z tablicą 12 o tyle, aby nie została przekroczona dopuszczalna najwyższa temperatura lepiszcza asfaltowego w zbiorniku magazynowym (roboczym) (patrz pkt 2.3). </w:t>
      </w:r>
    </w:p>
    <w:p>
      <w:pPr>
        <w:pStyle w:val="Normal"/>
        <w:spacing w:lineRule="auto" w:line="259" w:before="0" w:after="52"/>
        <w:ind w:left="970" w:right="0" w:hanging="0"/>
        <w:jc w:val="left"/>
        <w:rPr/>
      </w:pPr>
      <w:r>
        <w:rPr/>
      </w:r>
    </w:p>
    <w:p>
      <w:pPr>
        <w:pStyle w:val="Normal"/>
        <w:ind w:left="980" w:right="461" w:hanging="10"/>
        <w:rPr/>
      </w:pPr>
      <w:r>
        <w:rPr/>
        <w:t xml:space="preserve">Tablica 12. Korekta temperatury produkcji w zależności od wilgotności granulatu asfaltowego </w:t>
      </w:r>
    </w:p>
    <w:p>
      <w:pPr>
        <w:pStyle w:val="Normal"/>
        <w:spacing w:lineRule="auto" w:line="259" w:before="0" w:after="0"/>
        <w:ind w:left="970" w:right="0" w:hanging="0"/>
        <w:jc w:val="left"/>
        <w:rPr/>
      </w:pPr>
      <w:r>
        <w:rPr/>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1" w:type="dxa"/>
          <w:left w:w="-5" w:type="dxa"/>
          <w:bottom w:w="0" w:type="dxa"/>
          <w:right w:w="10" w:type="dxa"/>
        </w:tblCellMar>
        <w:tblLook w:val="04a0"/>
      </w:tblPr>
      <w:tblGrid>
        <w:gridCol w:w="1367"/>
        <w:gridCol w:w="1365"/>
        <w:gridCol w:w="1368"/>
        <w:gridCol w:w="1369"/>
        <w:gridCol w:w="1"/>
        <w:gridCol w:w="1365"/>
        <w:gridCol w:w="1368"/>
        <w:gridCol w:w="1369"/>
      </w:tblGrid>
      <w:tr>
        <w:trPr>
          <w:trHeight w:val="276" w:hRule="atLeast"/>
        </w:trPr>
        <w:tc>
          <w:tcPr>
            <w:tcW w:w="1367"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19"/>
              <w:ind w:left="0" w:right="140" w:hanging="0"/>
              <w:jc w:val="right"/>
              <w:rPr/>
            </w:pPr>
            <w:r>
              <w:rPr/>
              <w:t>Udzi</w:t>
            </w:r>
          </w:p>
          <w:p>
            <w:pPr>
              <w:pStyle w:val="Normal"/>
              <w:spacing w:lineRule="auto" w:line="276" w:before="0" w:after="0"/>
              <w:ind w:left="108" w:right="0" w:hanging="0"/>
              <w:jc w:val="left"/>
              <w:rPr/>
            </w:pPr>
            <w:r>
              <w:rPr/>
              <w:t xml:space="preserve">ał granulatu asfaltowego, </w:t>
            </w:r>
          </w:p>
          <w:p>
            <w:pPr>
              <w:pStyle w:val="Normal"/>
              <w:spacing w:lineRule="auto" w:line="259" w:before="0" w:after="0"/>
              <w:ind w:left="108" w:right="0" w:hanging="0"/>
              <w:jc w:val="left"/>
              <w:rPr/>
            </w:pPr>
            <w:r>
              <w:rPr/>
              <w:t xml:space="preserve">M% </w:t>
            </w:r>
          </w:p>
        </w:tc>
        <w:tc>
          <w:tcPr>
            <w:tcW w:w="4102"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right"/>
              <w:rPr/>
            </w:pPr>
            <w:r>
              <w:rPr/>
              <w:t>Wilgotność granulatu asfaltowego, %</w:t>
            </w:r>
          </w:p>
        </w:tc>
        <w:tc>
          <w:tcPr>
            <w:tcW w:w="136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Pr>
          <w:p>
            <w:pPr>
              <w:pStyle w:val="Normal"/>
              <w:spacing w:lineRule="auto" w:line="259" w:before="0" w:after="0"/>
              <w:ind w:left="-5" w:right="0" w:hanging="0"/>
              <w:jc w:val="left"/>
              <w:rPr/>
            </w:pPr>
            <w:r>
              <w:rPr/>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Pr>
          <w:p>
            <w:pPr>
              <w:pStyle w:val="Normal"/>
              <w:spacing w:lineRule="auto" w:line="259" w:before="0" w:after="0"/>
              <w:ind w:left="0" w:right="0" w:hanging="0"/>
              <w:jc w:val="left"/>
              <w:rPr/>
            </w:pPr>
            <w:r>
              <w:rPr/>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Pr>
          <w:p>
            <w:pPr>
              <w:pStyle w:val="Normal"/>
              <w:spacing w:lineRule="auto" w:line="259" w:before="0" w:after="0"/>
              <w:ind w:left="0" w:right="0" w:hanging="0"/>
              <w:jc w:val="left"/>
              <w:rPr/>
            </w:pPr>
            <w:r>
              <w:rPr/>
            </w:r>
          </w:p>
        </w:tc>
      </w:tr>
      <w:tr>
        <w:trPr>
          <w:trHeight w:val="274" w:hRule="atLeast"/>
        </w:trPr>
        <w:tc>
          <w:tcPr>
            <w:tcW w:w="1367"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88" w:right="0" w:hanging="0"/>
              <w:jc w:val="center"/>
              <w:rPr/>
            </w:pPr>
            <w:r>
              <w:rPr/>
              <w:t xml:space="preserve">1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85" w:right="0" w:hanging="0"/>
              <w:jc w:val="center"/>
              <w:rPr/>
            </w:pPr>
            <w:r>
              <w:rPr/>
              <w:t xml:space="preserve">2 </w:t>
            </w:r>
          </w:p>
        </w:tc>
        <w:tc>
          <w:tcPr>
            <w:tcW w:w="137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86" w:right="0" w:hanging="0"/>
              <w:jc w:val="center"/>
              <w:rPr/>
            </w:pPr>
            <w:r>
              <w:rPr/>
              <w:t xml:space="preserve">3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82" w:right="0" w:hanging="0"/>
              <w:jc w:val="center"/>
              <w:rPr/>
            </w:pPr>
            <w:r>
              <w:rPr/>
              <w:t xml:space="preserve">4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85" w:right="0" w:hanging="0"/>
              <w:jc w:val="center"/>
              <w:rPr/>
            </w:pPr>
            <w:r>
              <w:rPr/>
              <w:t xml:space="preserve">5 </w:t>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78" w:right="0" w:hanging="0"/>
              <w:jc w:val="center"/>
              <w:rPr/>
            </w:pPr>
            <w:r>
              <w:rPr/>
              <w:t xml:space="preserve">6 </w:t>
            </w:r>
          </w:p>
        </w:tc>
      </w:tr>
      <w:tr>
        <w:trPr>
          <w:trHeight w:val="518" w:hRule="atLeast"/>
        </w:trPr>
        <w:tc>
          <w:tcPr>
            <w:tcW w:w="1367"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r>
          </w:p>
        </w:tc>
        <w:tc>
          <w:tcPr>
            <w:tcW w:w="4102"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vAlign w:val="center"/>
          </w:tcPr>
          <w:p>
            <w:pPr>
              <w:pStyle w:val="Normal"/>
              <w:spacing w:lineRule="auto" w:line="259" w:before="0" w:after="0"/>
              <w:ind w:left="0" w:right="70" w:hanging="0"/>
              <w:jc w:val="center"/>
              <w:rPr/>
            </w:pPr>
            <w:r>
              <w:rPr/>
              <w:t xml:space="preserve">Korekta temperatury, </w:t>
            </w:r>
            <w:r>
              <w:rPr>
                <w:vertAlign w:val="superscript"/>
              </w:rPr>
              <w:t>O</w:t>
            </w:r>
            <w:r>
              <w:rPr/>
              <w:t xml:space="preserve">C30 </w:t>
            </w:r>
          </w:p>
        </w:tc>
        <w:tc>
          <w:tcPr>
            <w:tcW w:w="136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Pr>
          <w:p>
            <w:pPr>
              <w:pStyle w:val="Normal"/>
              <w:spacing w:lineRule="auto" w:line="259" w:before="0" w:after="0"/>
              <w:ind w:left="0" w:right="0" w:hanging="0"/>
              <w:jc w:val="left"/>
              <w:rPr/>
            </w:pPr>
            <w:r>
              <w:rPr/>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Pr>
          <w:p>
            <w:pPr>
              <w:pStyle w:val="Normal"/>
              <w:spacing w:lineRule="auto" w:line="259" w:before="0" w:after="0"/>
              <w:ind w:left="0" w:right="0" w:hanging="0"/>
              <w:jc w:val="left"/>
              <w:rPr/>
            </w:pPr>
            <w:r>
              <w:rPr/>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Pr>
          <w:p>
            <w:pPr>
              <w:pStyle w:val="Normal"/>
              <w:spacing w:lineRule="auto" w:line="259" w:before="0" w:after="0"/>
              <w:ind w:left="0" w:right="0" w:hanging="0"/>
              <w:jc w:val="left"/>
              <w:rPr/>
            </w:pPr>
            <w:r>
              <w:rPr/>
            </w:r>
          </w:p>
        </w:tc>
      </w:tr>
      <w:tr>
        <w:trPr>
          <w:trHeight w:val="276" w:hRule="atLeast"/>
        </w:trPr>
        <w:tc>
          <w:tcPr>
            <w:tcW w:w="1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816" w:right="0" w:hanging="0"/>
              <w:jc w:val="left"/>
              <w:rPr/>
            </w:pPr>
            <w:r>
              <w:rPr/>
              <w:t xml:space="preserve">10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88" w:right="0" w:hanging="0"/>
              <w:jc w:val="center"/>
              <w:rPr/>
            </w:pPr>
            <w:r>
              <w:rPr/>
              <w:t xml:space="preserve">4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385" w:right="0" w:hanging="0"/>
              <w:jc w:val="center"/>
              <w:rPr/>
            </w:pPr>
            <w:r>
              <w:rPr/>
              <w:t xml:space="preserve">8 </w:t>
            </w:r>
          </w:p>
        </w:tc>
        <w:tc>
          <w:tcPr>
            <w:tcW w:w="137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816" w:right="0" w:hanging="0"/>
              <w:jc w:val="left"/>
              <w:rPr/>
            </w:pPr>
            <w:r>
              <w:rPr/>
              <w:t xml:space="preserve">12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493" w:right="0" w:hanging="0"/>
              <w:jc w:val="center"/>
              <w:rPr/>
            </w:pPr>
            <w:r>
              <w:rPr/>
              <w:t xml:space="preserve">16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816" w:right="0" w:hanging="0"/>
              <w:jc w:val="left"/>
              <w:rPr/>
            </w:pPr>
            <w:r>
              <w:rPr/>
              <w:t xml:space="preserve">20 </w:t>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489" w:right="0" w:hanging="0"/>
              <w:jc w:val="center"/>
              <w:rPr/>
            </w:pPr>
            <w:r>
              <w:rPr/>
              <w:t xml:space="preserve">24 </w:t>
            </w:r>
          </w:p>
        </w:tc>
      </w:tr>
      <w:tr>
        <w:trPr>
          <w:trHeight w:val="273" w:hRule="atLeast"/>
        </w:trPr>
        <w:tc>
          <w:tcPr>
            <w:tcW w:w="1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 w:right="0" w:hanging="0"/>
              <w:jc w:val="left"/>
              <w:rPr/>
            </w:pPr>
            <w:r>
              <w:rPr/>
              <w:t xml:space="preserve">15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322" w:hanging="0"/>
              <w:jc w:val="center"/>
              <w:rPr/>
            </w:pPr>
            <w:r>
              <w:rPr/>
              <w:t xml:space="preserve">6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216" w:hanging="0"/>
              <w:jc w:val="center"/>
              <w:rPr/>
            </w:pPr>
            <w:r>
              <w:rPr/>
              <w:t xml:space="preserve">12 </w:t>
            </w:r>
          </w:p>
        </w:tc>
        <w:tc>
          <w:tcPr>
            <w:tcW w:w="137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t xml:space="preserve">18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 w:right="0" w:hanging="0"/>
              <w:jc w:val="left"/>
              <w:rPr/>
            </w:pPr>
            <w:r>
              <w:rPr/>
              <w:t xml:space="preserve">24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1" w:right="0" w:hanging="0"/>
              <w:jc w:val="left"/>
              <w:rPr/>
            </w:pPr>
            <w:r>
              <w:rPr/>
              <w:t xml:space="preserve">30 </w:t>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219" w:hanging="0"/>
              <w:jc w:val="center"/>
              <w:rPr/>
            </w:pPr>
            <w:r>
              <w:rPr/>
              <w:t xml:space="preserve">36 </w:t>
            </w:r>
          </w:p>
        </w:tc>
      </w:tr>
      <w:tr>
        <w:trPr>
          <w:trHeight w:val="276" w:hRule="atLeast"/>
        </w:trPr>
        <w:tc>
          <w:tcPr>
            <w:tcW w:w="1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 w:right="0" w:hanging="0"/>
              <w:jc w:val="left"/>
              <w:rPr/>
            </w:pPr>
            <w:r>
              <w:rPr/>
              <w:t xml:space="preserve">20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322" w:hanging="0"/>
              <w:jc w:val="center"/>
              <w:rPr/>
            </w:pPr>
            <w:r>
              <w:rPr/>
              <w:t xml:space="preserve">8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216" w:hanging="0"/>
              <w:jc w:val="center"/>
              <w:rPr/>
            </w:pPr>
            <w:r>
              <w:rPr/>
              <w:t xml:space="preserve">16 </w:t>
            </w:r>
          </w:p>
        </w:tc>
        <w:tc>
          <w:tcPr>
            <w:tcW w:w="137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0" w:hanging="0"/>
              <w:jc w:val="left"/>
              <w:rPr/>
            </w:pPr>
            <w:r>
              <w:rPr/>
              <w:t xml:space="preserve">24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1" w:right="0" w:hanging="0"/>
              <w:jc w:val="left"/>
              <w:rPr/>
            </w:pPr>
            <w:r>
              <w:rPr/>
              <w:t xml:space="preserve">32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1" w:right="0" w:hanging="0"/>
              <w:jc w:val="left"/>
              <w:rPr/>
            </w:pPr>
            <w:r>
              <w:rPr/>
              <w:t xml:space="preserve">40 </w:t>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219" w:hanging="0"/>
              <w:jc w:val="center"/>
              <w:rPr/>
            </w:pPr>
            <w:r>
              <w:rPr/>
              <w:t xml:space="preserve">48 </w:t>
            </w:r>
          </w:p>
        </w:tc>
      </w:tr>
      <w:tr>
        <w:trPr>
          <w:trHeight w:val="274" w:hRule="atLeast"/>
        </w:trPr>
        <w:tc>
          <w:tcPr>
            <w:tcW w:w="1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 w:right="0" w:hanging="0"/>
              <w:jc w:val="left"/>
              <w:rPr/>
            </w:pPr>
            <w:r>
              <w:rPr/>
              <w:t xml:space="preserve">25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 w:right="0" w:hanging="0"/>
              <w:jc w:val="left"/>
              <w:rPr/>
            </w:pPr>
            <w:r>
              <w:rPr/>
              <w:t xml:space="preserve">10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216" w:hanging="0"/>
              <w:jc w:val="center"/>
              <w:rPr/>
            </w:pPr>
            <w:r>
              <w:rPr/>
              <w:t xml:space="preserve">20 </w:t>
            </w:r>
          </w:p>
        </w:tc>
        <w:tc>
          <w:tcPr>
            <w:tcW w:w="137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0" w:hanging="0"/>
              <w:jc w:val="left"/>
              <w:rPr/>
            </w:pPr>
            <w:r>
              <w:rPr/>
              <w:t xml:space="preserve">30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1" w:right="0" w:hanging="0"/>
              <w:jc w:val="left"/>
              <w:rPr/>
            </w:pPr>
            <w:r>
              <w:rPr/>
              <w:t xml:space="preserve">40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1" w:right="0" w:hanging="0"/>
              <w:jc w:val="left"/>
              <w:rPr/>
            </w:pPr>
            <w:r>
              <w:rPr/>
              <w:t xml:space="preserve">50 </w:t>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219" w:hanging="0"/>
              <w:jc w:val="center"/>
              <w:rPr/>
            </w:pPr>
            <w:r>
              <w:rPr/>
              <w:t xml:space="preserve">60 </w:t>
            </w:r>
          </w:p>
        </w:tc>
      </w:tr>
      <w:tr>
        <w:trPr>
          <w:trHeight w:val="272" w:hRule="atLeast"/>
        </w:trPr>
        <w:tc>
          <w:tcPr>
            <w:tcW w:w="1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 w:right="0" w:hanging="0"/>
              <w:jc w:val="left"/>
              <w:rPr/>
            </w:pPr>
            <w:r>
              <w:rPr/>
              <w:t xml:space="preserve">30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1" w:right="0" w:hanging="0"/>
              <w:jc w:val="left"/>
              <w:rPr/>
            </w:pPr>
            <w:r>
              <w:rPr/>
              <w:t xml:space="preserve">12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lineRule="auto" w:line="259" w:before="0" w:after="0"/>
              <w:ind w:left="0" w:right="216" w:hanging="0"/>
              <w:jc w:val="center"/>
              <w:rPr/>
            </w:pPr>
            <w:r>
              <w:rPr/>
              <w:t xml:space="preserve">24 </w:t>
            </w:r>
          </w:p>
        </w:tc>
        <w:tc>
          <w:tcPr>
            <w:tcW w:w="137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368" w:hanging="0"/>
              <w:jc w:val="center"/>
              <w:rPr/>
            </w:pPr>
            <w:r>
              <w:rPr/>
              <w:t xml:space="preserve">- </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370" w:hanging="0"/>
              <w:jc w:val="center"/>
              <w:rPr/>
            </w:pPr>
            <w:r>
              <w:rPr/>
              <w:t xml:space="preserve">- </w:t>
            </w:r>
          </w:p>
        </w:tc>
        <w:tc>
          <w:tcPr>
            <w:tcW w:w="13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368" w:hanging="0"/>
              <w:jc w:val="center"/>
              <w:rPr/>
            </w:pPr>
            <w:r>
              <w:rPr/>
              <w:t xml:space="preserve">- </w:t>
            </w:r>
          </w:p>
        </w:tc>
        <w:tc>
          <w:tcPr>
            <w:tcW w:w="13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5" w:type="dxa"/>
            </w:tcMar>
          </w:tcPr>
          <w:p>
            <w:pPr>
              <w:pStyle w:val="Normal"/>
              <w:spacing w:lineRule="auto" w:line="259" w:before="0" w:after="0"/>
              <w:ind w:left="0" w:right="374" w:hanging="0"/>
              <w:jc w:val="center"/>
              <w:rPr/>
            </w:pPr>
            <w:r>
              <w:rPr/>
              <w:t xml:space="preserve">- </w:t>
            </w:r>
          </w:p>
        </w:tc>
      </w:tr>
    </w:tbl>
    <w:p>
      <w:pPr>
        <w:pStyle w:val="Normal"/>
        <w:spacing w:lineRule="auto" w:line="259" w:before="0" w:after="54"/>
        <w:ind w:left="970" w:right="0" w:hanging="0"/>
        <w:jc w:val="left"/>
        <w:rPr/>
      </w:pPr>
      <w:r>
        <w:rPr/>
      </w:r>
    </w:p>
    <w:p>
      <w:pPr>
        <w:pStyle w:val="Normal"/>
        <w:spacing w:before="0" w:after="36"/>
        <w:ind w:left="256" w:right="461" w:firstLine="708"/>
        <w:rPr/>
      </w:pPr>
      <w:r>
        <w:rPr/>
        <w:t xml:space="preserve">Szare pola wskazują dodatek granulatu nieekonomiczny i niebezpieczny ze względu na duże ilości pary wodnej powstającej przy odparowaniu wody z wilgotnego granulatu. </w:t>
      </w:r>
    </w:p>
    <w:p>
      <w:pPr>
        <w:pStyle w:val="Normal"/>
        <w:spacing w:before="0" w:after="36"/>
        <w:ind w:left="256" w:right="461" w:firstLine="708"/>
        <w:rPr/>
      </w:pPr>
      <w:r>
        <w:rPr/>
        <w:t xml:space="preserve">Dopuszcza się użycie granulatu asfaltowego w metodzie „na zimno” (bez wstępnego ogrzewania) w ilości do 20% masy mieszanki mineralno-asfaltowej na podstawie wykazania spełnienia wymagań podanych powyżej oraz spełniania właściwości mma. </w:t>
      </w:r>
    </w:p>
    <w:p>
      <w:pPr>
        <w:pStyle w:val="Normal"/>
        <w:spacing w:lineRule="auto" w:line="259" w:before="0" w:after="0"/>
        <w:ind w:left="970" w:right="0" w:hanging="0"/>
        <w:jc w:val="left"/>
        <w:rPr/>
      </w:pPr>
      <w:r>
        <w:rPr/>
      </w:r>
    </w:p>
    <w:p>
      <w:pPr>
        <w:pStyle w:val="Normal"/>
        <w:ind w:left="256" w:right="461" w:firstLine="708"/>
        <w:rPr/>
      </w:pPr>
      <w:r>
        <w:rPr/>
        <w:t xml:space="preserve">Uwaga: Stosowanie granulatu asfaltowego nie może obniżać właściwości mieszanek mineralno asfaltowych. </w:t>
      </w:r>
    </w:p>
    <w:p>
      <w:pPr>
        <w:pStyle w:val="Normal"/>
        <w:spacing w:lineRule="auto" w:line="259" w:before="0" w:after="8"/>
        <w:ind w:left="262" w:right="0" w:hanging="0"/>
        <w:jc w:val="left"/>
        <w:rPr/>
      </w:pPr>
      <w:r>
        <w:rPr/>
      </w:r>
    </w:p>
    <w:p>
      <w:pPr>
        <w:pStyle w:val="Normal"/>
        <w:ind w:left="266" w:right="461" w:hanging="10"/>
        <w:rPr/>
      </w:pPr>
      <w:r>
        <w:rPr>
          <w:b/>
        </w:rPr>
        <w:t xml:space="preserve">2.5.4. </w:t>
      </w:r>
      <w:r>
        <w:rPr/>
        <w:t xml:space="preserve">Środek adhezyjny </w:t>
      </w:r>
    </w:p>
    <w:p>
      <w:pPr>
        <w:pStyle w:val="Normal"/>
        <w:spacing w:lineRule="auto" w:line="259" w:before="0" w:after="0"/>
        <w:ind w:left="828" w:right="0" w:hanging="0"/>
        <w:jc w:val="left"/>
        <w:rPr/>
      </w:pPr>
      <w:r>
        <w:rPr/>
      </w:r>
    </w:p>
    <w:p>
      <w:pPr>
        <w:pStyle w:val="Normal"/>
        <w:ind w:left="256" w:right="461" w:firstLine="566"/>
        <w:rPr/>
      </w:pPr>
      <w:r>
        <w:rP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A wynosiła co najmniej 80% po 6 godzinach badania. </w:t>
      </w:r>
    </w:p>
    <w:p>
      <w:pPr>
        <w:pStyle w:val="Normal"/>
        <w:ind w:left="256" w:right="461" w:firstLine="566"/>
        <w:rPr/>
      </w:pPr>
      <w:r>
        <w:rPr/>
        <w:t xml:space="preserve">W przypadku konieczności zastosowania środka adhezyjnego należy użyć środek, którego przydatność została potwierdzona podczas wcześniejszych zastosowań. Jeżeli nie jest możliwe udokumentowanie wcześniejszych, pozytywnych zastosowań, należy na ten środek przedstawić Aprobatę Techniczną (PN-EN 131081, pkt. 4.1) i być zaakceptowany przez Inżyniera na podstawie wyników badań mieszanki. </w:t>
      </w:r>
    </w:p>
    <w:p>
      <w:pPr>
        <w:pStyle w:val="Normal"/>
        <w:spacing w:lineRule="auto" w:line="259" w:before="0" w:after="15"/>
        <w:ind w:left="262" w:right="0" w:hanging="0"/>
        <w:jc w:val="left"/>
        <w:rPr/>
      </w:pPr>
      <w:r>
        <w:rPr/>
      </w:r>
    </w:p>
    <w:p>
      <w:pPr>
        <w:pStyle w:val="Nagwek2"/>
        <w:tabs>
          <w:tab w:val="center" w:pos="427" w:leader="none"/>
          <w:tab w:val="center" w:pos="3046" w:leader="none"/>
        </w:tabs>
        <w:ind w:left="0" w:right="470" w:hanging="0"/>
        <w:rPr/>
      </w:pPr>
      <w:r>
        <w:rPr>
          <w:rFonts w:eastAsia="Calibri" w:cs="Calibri" w:ascii="Calibri" w:hAnsi="Calibri"/>
          <w:b w:val="false"/>
          <w:sz w:val="22"/>
        </w:rPr>
        <w:tab/>
      </w:r>
      <w:r>
        <w:rPr/>
        <w:t xml:space="preserve">2.6. </w:t>
        <w:tab/>
        <w:t xml:space="preserve">Materiały do uszczelnienia połączeń i krawędzi </w:t>
      </w:r>
    </w:p>
    <w:p>
      <w:pPr>
        <w:pStyle w:val="Normal"/>
        <w:spacing w:lineRule="auto" w:line="259" w:before="0" w:after="12"/>
        <w:ind w:left="828" w:right="0" w:hanging="0"/>
        <w:jc w:val="left"/>
        <w:rPr/>
      </w:pPr>
      <w:r>
        <w:rPr/>
      </w:r>
    </w:p>
    <w:p>
      <w:pPr>
        <w:pStyle w:val="Normal"/>
        <w:spacing w:before="0" w:after="35"/>
        <w:ind w:left="256" w:right="461" w:firstLine="566"/>
        <w:rPr/>
      </w:pPr>
      <w:r>
        <w:rP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w:t>
      </w:r>
    </w:p>
    <w:p>
      <w:pPr>
        <w:pStyle w:val="Normal"/>
        <w:numPr>
          <w:ilvl w:val="0"/>
          <w:numId w:val="1"/>
        </w:numPr>
        <w:spacing w:before="0" w:after="39"/>
        <w:ind w:left="1255" w:right="461" w:hanging="427"/>
        <w:rPr/>
      </w:pPr>
      <w:r>
        <w:rPr/>
        <w:t xml:space="preserve">materiały termoplastyczne, jak taśmy asfaltowe, pasty itp. według norm lub aprobat technicznych, </w:t>
      </w:r>
    </w:p>
    <w:p>
      <w:pPr>
        <w:pStyle w:val="Normal"/>
        <w:numPr>
          <w:ilvl w:val="0"/>
          <w:numId w:val="1"/>
        </w:numPr>
        <w:spacing w:before="0" w:after="29"/>
        <w:ind w:left="1255" w:right="461" w:hanging="427"/>
        <w:rPr/>
      </w:pPr>
      <w:r>
        <w:rPr/>
        <w:t xml:space="preserve">emulsję asfaltową według PN-EN 13808 lub inne lepiszcza według norm lub aprobat technicznych  </w:t>
      </w:r>
    </w:p>
    <w:p>
      <w:pPr>
        <w:pStyle w:val="Normal"/>
        <w:ind w:left="256" w:right="461" w:firstLine="566"/>
        <w:rPr/>
      </w:pPr>
      <w:r>
        <w:rPr/>
        <w:t xml:space="preserve">Do uszczelnienia krawędzi należy stosować asfalt drogowy wg PN-EN 12591, asfalt modyfikowany polimerami wg PN-EN 14023 „metodą na gorąco”. Dopuszcza się inne rodzaje lepiszcza wg norm lub aprobat technicznych. </w:t>
      </w:r>
    </w:p>
    <w:p>
      <w:pPr>
        <w:pStyle w:val="Normal"/>
        <w:spacing w:lineRule="auto" w:line="259" w:before="0" w:after="17"/>
        <w:ind w:left="828" w:right="0" w:hanging="0"/>
        <w:jc w:val="left"/>
        <w:rPr/>
      </w:pPr>
      <w:r>
        <w:rPr/>
      </w:r>
    </w:p>
    <w:p>
      <w:pPr>
        <w:pStyle w:val="Normal"/>
        <w:spacing w:lineRule="auto" w:line="259" w:before="0" w:after="14"/>
        <w:ind w:left="828" w:right="0" w:hanging="0"/>
        <w:jc w:val="left"/>
        <w:rPr/>
      </w:pPr>
      <w:r>
        <w:rPr/>
      </w:r>
    </w:p>
    <w:p>
      <w:pPr>
        <w:pStyle w:val="Normal"/>
        <w:spacing w:lineRule="auto" w:line="259" w:before="0" w:after="16"/>
        <w:ind w:left="262" w:right="0" w:hanging="0"/>
        <w:jc w:val="left"/>
        <w:rPr/>
      </w:pPr>
      <w:r>
        <w:rPr/>
      </w:r>
    </w:p>
    <w:p>
      <w:pPr>
        <w:pStyle w:val="Normal"/>
        <w:numPr>
          <w:ilvl w:val="1"/>
          <w:numId w:val="2"/>
        </w:numPr>
        <w:spacing w:before="0" w:after="49"/>
        <w:ind w:left="976" w:right="461" w:hanging="720"/>
        <w:rPr/>
      </w:pPr>
      <w:r>
        <w:rPr/>
        <w:t xml:space="preserve">Materiały do złączenia warstw konstrukcji </w:t>
      </w:r>
    </w:p>
    <w:p>
      <w:pPr>
        <w:pStyle w:val="Normal"/>
        <w:spacing w:before="0" w:after="31"/>
        <w:ind w:left="256" w:right="461" w:firstLine="566"/>
        <w:rPr/>
      </w:pPr>
      <w:r>
        <w:rPr/>
        <w:t xml:space="preserve">Do złączania warstw konstrukcji nawierzchni (warstwa wiążąca z warstwą ścieralną) należy stosować emulsje asfaltowe spełniające wymagania zapisane w D-04.03.01. </w:t>
      </w:r>
    </w:p>
    <w:p>
      <w:pPr>
        <w:pStyle w:val="Normal"/>
        <w:spacing w:lineRule="auto" w:line="259" w:before="0" w:after="10"/>
        <w:ind w:left="828" w:right="0" w:hanging="0"/>
        <w:jc w:val="left"/>
        <w:rPr/>
      </w:pPr>
      <w:r>
        <w:rPr/>
      </w:r>
    </w:p>
    <w:p>
      <w:pPr>
        <w:pStyle w:val="Normal"/>
        <w:numPr>
          <w:ilvl w:val="1"/>
          <w:numId w:val="2"/>
        </w:numPr>
        <w:ind w:left="976" w:right="461" w:hanging="720"/>
        <w:rPr/>
      </w:pPr>
      <w:r>
        <w:rPr/>
        <w:t xml:space="preserve">Składowanie materiałów </w:t>
      </w:r>
    </w:p>
    <w:p>
      <w:pPr>
        <w:pStyle w:val="Normal"/>
        <w:spacing w:lineRule="auto" w:line="259" w:before="0" w:after="1"/>
        <w:ind w:left="982" w:right="0" w:hanging="0"/>
        <w:jc w:val="left"/>
        <w:rPr/>
      </w:pPr>
      <w:r>
        <w:rPr/>
      </w:r>
    </w:p>
    <w:p>
      <w:pPr>
        <w:pStyle w:val="Normal"/>
        <w:ind w:left="266" w:right="461" w:hanging="10"/>
        <w:rPr/>
      </w:pPr>
      <w:r>
        <w:rPr/>
        <w:t xml:space="preserve">Składowanie kruszywa powinno odbywać się w warunkach zabezpieczających je przed zanieczyszczeniem i zmieszaniem z innymi rodzajami lub frakcjami kruszywa. Wypełniacz należy składować w silosach wyposażonych w urządzenia do aeracji. Asfalt należy przechowywać zgodnie z zasadami podanymi w p. 8.3 WT-2 2014. </w:t>
      </w:r>
    </w:p>
    <w:p>
      <w:pPr>
        <w:pStyle w:val="Normal"/>
        <w:ind w:left="266" w:right="461" w:hanging="10"/>
        <w:rPr/>
      </w:pPr>
      <w:r>
        <w:rPr/>
        <w:t xml:space="preserve">Maksymalne temperatury składowania asfaltu powinny być zgodne z wymaganiami p. 8.3. WT-2 2014- tablica 41. </w:t>
      </w:r>
    </w:p>
    <w:p>
      <w:pPr>
        <w:pStyle w:val="Normal"/>
        <w:ind w:left="266" w:right="461" w:hanging="10"/>
        <w:rPr/>
      </w:pPr>
      <w:r>
        <w:rPr/>
        <w:t xml:space="preserve">Składowanie środka adhezyjnego jest dozwolone tylko w oryginalnych opakowaniach producenta w warunkach podanych w Aprobacie Technicznej lub zgodnie z zaleceniami producenta. </w:t>
      </w:r>
    </w:p>
    <w:p>
      <w:pPr>
        <w:pStyle w:val="Normal"/>
        <w:spacing w:lineRule="auto" w:line="259" w:before="0" w:after="11"/>
        <w:ind w:left="262" w:right="0" w:hanging="0"/>
        <w:jc w:val="left"/>
        <w:rPr/>
      </w:pPr>
      <w:r>
        <w:rPr/>
      </w:r>
    </w:p>
    <w:p>
      <w:pPr>
        <w:pStyle w:val="Nagwek1"/>
        <w:tabs>
          <w:tab w:val="center" w:pos="344" w:leader="none"/>
          <w:tab w:val="center" w:pos="1075" w:leader="none"/>
        </w:tabs>
        <w:spacing w:before="0" w:after="261"/>
        <w:ind w:left="0" w:right="470" w:hanging="0"/>
        <w:rPr/>
      </w:pPr>
      <w:r>
        <w:rPr>
          <w:rFonts w:eastAsia="Calibri" w:cs="Calibri" w:ascii="Calibri" w:hAnsi="Calibri"/>
          <w:b w:val="false"/>
          <w:sz w:val="22"/>
        </w:rPr>
        <w:tab/>
      </w:r>
      <w:r>
        <w:rPr>
          <w:b w:val="false"/>
        </w:rPr>
        <w:t xml:space="preserve">3. </w:t>
        <w:tab/>
      </w:r>
      <w:r>
        <w:rPr/>
        <w:t>SPRZĘT</w:t>
      </w:r>
    </w:p>
    <w:p>
      <w:pPr>
        <w:pStyle w:val="Normal"/>
        <w:spacing w:lineRule="auto" w:line="259" w:before="0" w:after="192"/>
        <w:ind w:left="262" w:right="0" w:hanging="0"/>
        <w:jc w:val="left"/>
        <w:rPr/>
      </w:pPr>
      <w:r>
        <w:rPr/>
      </w:r>
    </w:p>
    <w:p>
      <w:pPr>
        <w:pStyle w:val="Nagwek2"/>
        <w:tabs>
          <w:tab w:val="center" w:pos="427" w:leader="none"/>
          <w:tab w:val="center" w:pos="2632" w:leader="none"/>
        </w:tabs>
        <w:spacing w:before="0" w:after="57"/>
        <w:ind w:left="0" w:right="470" w:hanging="0"/>
        <w:rPr/>
      </w:pPr>
      <w:r>
        <w:rPr>
          <w:rFonts w:eastAsia="Calibri" w:cs="Calibri" w:ascii="Calibri" w:hAnsi="Calibri"/>
          <w:b w:val="false"/>
          <w:sz w:val="22"/>
        </w:rPr>
        <w:tab/>
      </w:r>
      <w:r>
        <w:rPr/>
        <w:t xml:space="preserve">3.4. </w:t>
        <w:tab/>
        <w:t xml:space="preserve">Ogólne wymagania dotyczące sprzętu </w:t>
      </w:r>
    </w:p>
    <w:p>
      <w:pPr>
        <w:pStyle w:val="Normal"/>
        <w:spacing w:before="0" w:after="41"/>
        <w:ind w:left="838" w:right="461" w:hanging="10"/>
        <w:rPr/>
      </w:pPr>
      <w:r>
        <w:rPr/>
        <w:t xml:space="preserve">Ogólne wymagania dotyczące sprzętu podano w SST D-00.00.00 „Wymagania ogólne” pkt 3. </w:t>
      </w:r>
    </w:p>
    <w:p>
      <w:pPr>
        <w:pStyle w:val="Normal"/>
        <w:spacing w:before="0" w:after="40"/>
        <w:ind w:left="256" w:right="461" w:firstLine="566"/>
        <w:rPr/>
      </w:pPr>
      <w:r>
        <w:rPr/>
        <w:t>Wybór sprzętu do wykonania robót związanych niniejszymi SST należy do Kierownika Budowy. Jakikolwiek sprzęt, maszyny lub narzędzia nie gwarantujące spełnienia wymagań jakościowych Robót i bezpieczeństwa zostaną przez Inżyniera zdyskwalifikowane i nie zostaną dopuszczone do Robót. Wydajność otaczarni powinna być dostosowana do wielkości robót. W terminie 30 dni przed zaplanowanym wbudowaniem mieszanki mineralno-asfaltowej Wykonawca przedstawi Inżynierowi do zatwierdzenia szczegółowe informacje dotyczące producenta mieszanki. Produkcja mieszanki AC i AC WMS powinna odbywać się na WMA o cyklicznym systemie produkcji mieszanki. WMA, posiadająca certyfikowany przez jednostkę notyfikowaną w ZKP (Zakładowa Kontrola Produkcji) zgodnie z wymaganiami PN-EN 13108-</w:t>
      </w:r>
    </w:p>
    <w:p>
      <w:pPr>
        <w:pStyle w:val="Normal"/>
        <w:spacing w:before="0" w:after="36"/>
        <w:ind w:left="266" w:right="461" w:hanging="10"/>
        <w:rPr/>
      </w:pPr>
      <w:r>
        <w:rPr/>
        <w:t xml:space="preserve">21. Wytwórnia Mas Asfaltowych powinna być odebrana przez Inżyniera. Dozowanie wszystkich składników mieszanki mineralno-asfaltowej (w tym środek adhezyjny) powinno odbywać się wagowo. </w:t>
      </w:r>
    </w:p>
    <w:p>
      <w:pPr>
        <w:pStyle w:val="Normal"/>
        <w:spacing w:before="0" w:after="237"/>
        <w:ind w:left="256" w:right="461" w:firstLine="566"/>
        <w:rPr/>
      </w:pPr>
      <w:r>
        <w:rPr/>
        <w:t xml:space="preserve">Układarka z możliwością układania na pełną szerokość jezdni lub 2 układarki pozwalające na równoległą pracę w systemie „gorące do gorącego”. Wykonawca powinien dysponować sprzętem pozwalającym na uzyskanie wymaganego wskaźnika zagęszczenia warstwy z mieszanki AC i AC WMS. Wykonawca powinien dysponować skrapiarką pozwalającą na równomierne i zgodne z wymaganiami skropienie podłoża. </w:t>
      </w:r>
    </w:p>
    <w:p>
      <w:pPr>
        <w:pStyle w:val="Normal"/>
        <w:spacing w:lineRule="auto" w:line="259" w:before="0" w:after="192"/>
        <w:ind w:left="262" w:right="0" w:hanging="0"/>
        <w:jc w:val="left"/>
        <w:rPr/>
      </w:pPr>
      <w:r>
        <w:rPr/>
      </w:r>
    </w:p>
    <w:p>
      <w:pPr>
        <w:pStyle w:val="Nagwek2"/>
        <w:tabs>
          <w:tab w:val="center" w:pos="427" w:leader="none"/>
          <w:tab w:val="center" w:pos="2647" w:leader="none"/>
        </w:tabs>
        <w:spacing w:before="0" w:after="60"/>
        <w:ind w:left="0" w:right="470" w:hanging="0"/>
        <w:rPr/>
      </w:pPr>
      <w:r>
        <w:rPr>
          <w:rFonts w:eastAsia="Calibri" w:cs="Calibri" w:ascii="Calibri" w:hAnsi="Calibri"/>
          <w:b w:val="false"/>
          <w:sz w:val="22"/>
        </w:rPr>
        <w:tab/>
      </w:r>
      <w:r>
        <w:rPr/>
        <w:t xml:space="preserve">3.5. </w:t>
        <w:tab/>
        <w:t xml:space="preserve">Sprzęt stosowany do wykonania robót </w:t>
      </w:r>
    </w:p>
    <w:p>
      <w:pPr>
        <w:pStyle w:val="Normal"/>
        <w:spacing w:before="0" w:after="34"/>
        <w:ind w:left="256" w:right="461" w:firstLine="566"/>
        <w:rPr/>
      </w:pPr>
      <w:r>
        <w:rPr/>
        <w:t xml:space="preserve">Przy wykonywaniu robót Wykonawca w zależności od potrzeb, powinien wykazać się możliwością korzystania ze sprzętu dostosowanego do przyjętej metody robót, jak: </w:t>
      </w:r>
    </w:p>
    <w:p>
      <w:pPr>
        <w:pStyle w:val="Normal"/>
        <w:numPr>
          <w:ilvl w:val="0"/>
          <w:numId w:val="3"/>
        </w:numPr>
        <w:spacing w:before="0" w:after="40"/>
        <w:ind w:left="1255" w:right="461" w:hanging="427"/>
        <w:rPr/>
      </w:pPr>
      <w:r>
        <w:rPr/>
        <w:t xml:space="preserve">wytwórnia (otaczarka) o mieszaniu cyklicznym lub ciągłym, z automatycznym komputerowym sterowaniem produkcji, do wytwarzania mieszanek mineralno-asfaltowych,  </w:t>
      </w:r>
    </w:p>
    <w:p>
      <w:pPr>
        <w:pStyle w:val="Normal"/>
        <w:numPr>
          <w:ilvl w:val="0"/>
          <w:numId w:val="3"/>
        </w:numPr>
        <w:ind w:left="1255" w:right="461" w:hanging="427"/>
        <w:rPr/>
      </w:pPr>
      <w:r>
        <w:rPr/>
        <w:t xml:space="preserve">układarka, z elektronicznym sterowaniem równości układanej warstwy, </w:t>
      </w:r>
    </w:p>
    <w:p>
      <w:pPr>
        <w:pStyle w:val="Normal"/>
        <w:numPr>
          <w:ilvl w:val="0"/>
          <w:numId w:val="3"/>
        </w:numPr>
        <w:spacing w:before="0" w:after="33"/>
        <w:ind w:left="1255" w:right="461" w:hanging="427"/>
        <w:rPr/>
      </w:pPr>
      <w:r>
        <w:rPr/>
        <w:t xml:space="preserve">skrapiarka, </w:t>
      </w:r>
    </w:p>
    <w:p>
      <w:pPr>
        <w:pStyle w:val="Normal"/>
        <w:numPr>
          <w:ilvl w:val="0"/>
          <w:numId w:val="3"/>
        </w:numPr>
        <w:ind w:left="1255" w:right="461" w:hanging="427"/>
        <w:rPr/>
      </w:pPr>
      <w:r>
        <w:rPr/>
        <w:t xml:space="preserve">walce stalowe gładkie,  </w:t>
      </w:r>
    </w:p>
    <w:p>
      <w:pPr>
        <w:pStyle w:val="Normal"/>
        <w:numPr>
          <w:ilvl w:val="0"/>
          <w:numId w:val="3"/>
        </w:numPr>
        <w:spacing w:before="0" w:after="50"/>
        <w:ind w:left="1255" w:right="461" w:hanging="427"/>
        <w:rPr/>
      </w:pPr>
      <w:r>
        <w:rPr/>
        <w:t xml:space="preserve">walce ogumione </w:t>
      </w:r>
    </w:p>
    <w:p>
      <w:pPr>
        <w:pStyle w:val="Normal"/>
        <w:numPr>
          <w:ilvl w:val="0"/>
          <w:numId w:val="3"/>
        </w:numPr>
        <w:spacing w:before="0" w:after="28"/>
        <w:ind w:left="1255" w:right="461" w:hanging="427"/>
        <w:rPr/>
      </w:pPr>
      <w:r>
        <w:rPr/>
        <w:t xml:space="preserve">szczotki mechaniczne i/lub inne urządzenia czyszczące, </w:t>
      </w:r>
    </w:p>
    <w:p>
      <w:pPr>
        <w:pStyle w:val="Normal"/>
        <w:numPr>
          <w:ilvl w:val="0"/>
          <w:numId w:val="3"/>
        </w:numPr>
        <w:spacing w:before="0" w:after="46"/>
        <w:ind w:left="1255" w:right="461" w:hanging="427"/>
        <w:rPr/>
      </w:pPr>
      <w:r>
        <w:rPr/>
        <w:t xml:space="preserve">samochody samowyładowcze z przykryciem brezentowym lub termosami, </w:t>
      </w:r>
    </w:p>
    <w:p>
      <w:pPr>
        <w:pStyle w:val="Normal"/>
        <w:numPr>
          <w:ilvl w:val="0"/>
          <w:numId w:val="3"/>
        </w:numPr>
        <w:ind w:left="1255" w:right="461" w:hanging="427"/>
        <w:rPr/>
      </w:pPr>
      <w:r>
        <w:rPr/>
        <w:t xml:space="preserve">sprzęt drobny. </w:t>
      </w:r>
    </w:p>
    <w:p>
      <w:pPr>
        <w:pStyle w:val="Nagwek1"/>
        <w:tabs>
          <w:tab w:val="center" w:pos="344" w:leader="none"/>
          <w:tab w:val="center" w:pos="1302" w:leader="none"/>
        </w:tabs>
        <w:spacing w:before="0" w:after="263"/>
        <w:ind w:left="0" w:right="470" w:hanging="0"/>
        <w:rPr/>
      </w:pPr>
      <w:r>
        <w:rPr>
          <w:rFonts w:eastAsia="Calibri" w:cs="Calibri" w:ascii="Calibri" w:hAnsi="Calibri"/>
          <w:b w:val="false"/>
          <w:sz w:val="22"/>
        </w:rPr>
        <w:tab/>
      </w:r>
      <w:r>
        <w:rPr>
          <w:b w:val="false"/>
        </w:rPr>
        <w:t xml:space="preserve">4. </w:t>
        <w:tab/>
      </w:r>
      <w:r>
        <w:rPr/>
        <w:t>TRANSPORT</w:t>
      </w:r>
    </w:p>
    <w:p>
      <w:pPr>
        <w:pStyle w:val="Normal"/>
        <w:spacing w:lineRule="auto" w:line="259" w:before="0" w:after="111"/>
        <w:ind w:left="262" w:right="0" w:hanging="0"/>
        <w:jc w:val="left"/>
        <w:rPr/>
      </w:pPr>
      <w:r>
        <w:rPr/>
      </w:r>
    </w:p>
    <w:p>
      <w:pPr>
        <w:pStyle w:val="Normal"/>
        <w:tabs>
          <w:tab w:val="center" w:pos="427" w:leader="none"/>
          <w:tab w:val="center" w:pos="2776" w:leader="none"/>
        </w:tabs>
        <w:spacing w:lineRule="auto" w:line="259" w:before="0" w:after="56"/>
        <w:ind w:left="0" w:right="0" w:hanging="0"/>
        <w:jc w:val="left"/>
        <w:rPr/>
      </w:pPr>
      <w:r>
        <w:rPr>
          <w:rFonts w:eastAsia="Calibri" w:cs="Calibri" w:ascii="Calibri" w:hAnsi="Calibri"/>
          <w:sz w:val="22"/>
        </w:rPr>
        <w:tab/>
      </w:r>
      <w:r>
        <w:rPr>
          <w:b/>
        </w:rPr>
        <w:t xml:space="preserve">4.4. </w:t>
        <w:tab/>
        <w:t xml:space="preserve">Ogólne wymagania dotyczące transportu </w:t>
      </w:r>
    </w:p>
    <w:p>
      <w:pPr>
        <w:pStyle w:val="Normal"/>
        <w:ind w:left="838" w:right="461" w:hanging="10"/>
        <w:rPr/>
      </w:pPr>
      <w:r>
        <w:rPr/>
        <w:t>Ogólne wymagania dotyczące transportu podano w SST D-00.00.00 „Wymagania ogólne” pkt 4.</w:t>
      </w:r>
    </w:p>
    <w:p>
      <w:pPr>
        <w:pStyle w:val="Normal"/>
        <w:spacing w:lineRule="auto" w:line="259" w:before="0" w:after="23"/>
        <w:ind w:left="262" w:right="0" w:hanging="0"/>
        <w:jc w:val="left"/>
        <w:rPr/>
      </w:pPr>
      <w:r>
        <w:rPr/>
        <w:tab/>
      </w:r>
    </w:p>
    <w:p>
      <w:pPr>
        <w:pStyle w:val="Normal"/>
        <w:spacing w:lineRule="auto" w:line="259" w:before="0" w:after="43"/>
        <w:ind w:left="262" w:right="0" w:hanging="0"/>
        <w:jc w:val="left"/>
        <w:rPr/>
      </w:pPr>
      <w:r>
        <w:rPr/>
      </w:r>
    </w:p>
    <w:p>
      <w:pPr>
        <w:pStyle w:val="Nagwek2"/>
        <w:tabs>
          <w:tab w:val="center" w:pos="427" w:leader="none"/>
          <w:tab w:val="center" w:pos="1843" w:leader="none"/>
        </w:tabs>
        <w:spacing w:before="0" w:after="58"/>
        <w:ind w:left="0" w:right="470" w:hanging="0"/>
        <w:rPr/>
      </w:pPr>
      <w:r>
        <w:rPr>
          <w:rFonts w:eastAsia="Calibri" w:cs="Calibri" w:ascii="Calibri" w:hAnsi="Calibri"/>
          <w:b w:val="false"/>
          <w:sz w:val="22"/>
        </w:rPr>
        <w:tab/>
      </w:r>
      <w:r>
        <w:rPr/>
        <w:t xml:space="preserve">4.5. </w:t>
        <w:tab/>
        <w:t xml:space="preserve">Transport materiałów  </w:t>
      </w:r>
    </w:p>
    <w:p>
      <w:pPr>
        <w:pStyle w:val="Normal"/>
        <w:ind w:left="266" w:right="461" w:hanging="10"/>
        <w:rPr/>
      </w:pPr>
      <w:r>
        <w:rPr/>
        <w:t xml:space="preserve">Wybór sposobu transportu i wybór środków transportu należą do Kierownika Budowy z zastrzeżeniem, że transport nie spowoduje zanieczyszczenia (materiałów i wyrobów), obniżenia ich jakości lub uszkodzeń.  Mieszankę mineralno-asfaltową należy przewozić pojazdami samowyładowczymi o dużej ładowności, wyposażonymi w plandeki do przykrywania mieszanki podczas transportu. Warunki i czas transportu, od produkcji do wbudowania, powinny zapewniać utrzymanie temperatury mieszanki w wymaganym przedziale. </w:t>
      </w:r>
    </w:p>
    <w:p>
      <w:pPr>
        <w:pStyle w:val="Normal"/>
        <w:ind w:left="266" w:right="461" w:hanging="10"/>
        <w:rPr/>
      </w:pPr>
      <w:r>
        <w:rPr/>
        <w:t xml:space="preserve">Wymagania jak dla specyfikacji D.04.07.01 – Podbudowa z betonu asfaltowego </w:t>
      </w:r>
    </w:p>
    <w:p>
      <w:pPr>
        <w:pStyle w:val="Normal"/>
        <w:spacing w:lineRule="auto" w:line="259" w:before="0" w:after="0"/>
        <w:ind w:left="262" w:right="0" w:hanging="0"/>
        <w:jc w:val="left"/>
        <w:rPr/>
      </w:pPr>
      <w:r>
        <w:rPr/>
      </w:r>
    </w:p>
    <w:p>
      <w:pPr>
        <w:pStyle w:val="Nagwek1"/>
        <w:tabs>
          <w:tab w:val="center" w:pos="344" w:leader="none"/>
          <w:tab w:val="center" w:pos="1691" w:leader="none"/>
        </w:tabs>
        <w:spacing w:before="0" w:after="54"/>
        <w:ind w:left="0" w:right="470" w:hanging="0"/>
        <w:rPr/>
      </w:pPr>
      <w:r>
        <w:rPr>
          <w:rFonts w:eastAsia="Calibri" w:cs="Calibri" w:ascii="Calibri" w:hAnsi="Calibri"/>
          <w:b w:val="false"/>
          <w:sz w:val="22"/>
        </w:rPr>
        <w:tab/>
      </w:r>
      <w:r>
        <w:rPr>
          <w:b w:val="false"/>
        </w:rPr>
        <w:t xml:space="preserve">5. </w:t>
        <w:tab/>
      </w:r>
      <w:r>
        <w:rPr/>
        <w:t>WYKONANIE ROBÓT</w:t>
      </w:r>
    </w:p>
    <w:p>
      <w:pPr>
        <w:pStyle w:val="Nagwek2"/>
        <w:tabs>
          <w:tab w:val="center" w:pos="427" w:leader="none"/>
          <w:tab w:val="center" w:pos="2354" w:leader="none"/>
        </w:tabs>
        <w:spacing w:before="0" w:after="57"/>
        <w:ind w:left="0" w:right="470" w:hanging="0"/>
        <w:rPr/>
      </w:pPr>
      <w:r>
        <w:rPr>
          <w:rFonts w:eastAsia="Calibri" w:cs="Calibri" w:ascii="Calibri" w:hAnsi="Calibri"/>
          <w:b w:val="false"/>
          <w:sz w:val="22"/>
        </w:rPr>
        <w:tab/>
      </w:r>
      <w:r>
        <w:rPr/>
        <w:t xml:space="preserve">5.4. </w:t>
        <w:tab/>
        <w:t xml:space="preserve">Ogólne zasady wykonania robót </w:t>
      </w:r>
    </w:p>
    <w:p>
      <w:pPr>
        <w:pStyle w:val="Normal"/>
        <w:ind w:left="838" w:right="461" w:hanging="10"/>
        <w:rPr/>
      </w:pPr>
      <w:r>
        <w:rPr/>
        <w:t xml:space="preserve">Ogólne zasady wykonania robót podano w SST D-00.00.00 „Wymagania ogólne” pkt 5. </w:t>
      </w:r>
    </w:p>
    <w:p>
      <w:pPr>
        <w:pStyle w:val="Normal"/>
        <w:spacing w:lineRule="auto" w:line="259" w:before="0" w:after="19"/>
        <w:ind w:left="262" w:right="0" w:hanging="0"/>
        <w:jc w:val="left"/>
        <w:rPr/>
      </w:pPr>
      <w:r>
        <w:rPr/>
      </w:r>
    </w:p>
    <w:p>
      <w:pPr>
        <w:pStyle w:val="Normal"/>
        <w:spacing w:before="0" w:after="40"/>
        <w:ind w:left="266" w:right="461" w:hanging="10"/>
        <w:rPr/>
      </w:pPr>
      <w:r>
        <w:rPr>
          <w:b/>
        </w:rPr>
        <w:t xml:space="preserve">5.5. Projektowanie mieszanki mineralno-asfaltowej </w:t>
      </w:r>
      <w:r>
        <w:rPr/>
        <w:t xml:space="preserve">W terminie 3 tygodni przed rozpoczęciem robót Wykonawca przedstawi Inżynierowi do zatwierdzenia projekt mieszanek AC i AC WMS (Badanie Typu) oraz wszystkie dokumenty potwierdzające jakość materiałów składowych mieszanki AC i reprezentatywne próbki materiałów. Projektowanie składu mieszanki mineralno-asfaltowej polega na: </w:t>
      </w:r>
    </w:p>
    <w:p>
      <w:pPr>
        <w:pStyle w:val="Normal"/>
        <w:numPr>
          <w:ilvl w:val="0"/>
          <w:numId w:val="4"/>
        </w:numPr>
        <w:spacing w:before="0" w:after="47"/>
        <w:ind w:left="1255" w:right="461" w:hanging="427"/>
        <w:rPr/>
      </w:pPr>
      <w:r>
        <w:rPr/>
        <w:t xml:space="preserve">doborze składników mieszanki, </w:t>
      </w:r>
    </w:p>
    <w:p>
      <w:pPr>
        <w:pStyle w:val="Normal"/>
        <w:numPr>
          <w:ilvl w:val="0"/>
          <w:numId w:val="4"/>
        </w:numPr>
        <w:spacing w:before="0" w:after="39"/>
        <w:ind w:left="1255" w:right="461" w:hanging="427"/>
        <w:rPr/>
      </w:pPr>
      <w:r>
        <w:rPr/>
        <w:t xml:space="preserve">doborze optymalnej ilości asfaltu, </w:t>
      </w:r>
    </w:p>
    <w:p>
      <w:pPr>
        <w:pStyle w:val="Normal"/>
        <w:numPr>
          <w:ilvl w:val="0"/>
          <w:numId w:val="4"/>
        </w:numPr>
        <w:spacing w:before="0" w:after="33"/>
        <w:ind w:left="1255" w:right="461" w:hanging="427"/>
        <w:rPr/>
      </w:pPr>
      <w:r>
        <w:rPr/>
        <w:t xml:space="preserve">określeniu właściwości mieszanki i porównaniu uzyskanych wyników z wymaganiami podanymi w niniejszej SST. </w:t>
      </w:r>
    </w:p>
    <w:p>
      <w:pPr>
        <w:pStyle w:val="Normal"/>
        <w:ind w:left="256" w:right="461" w:firstLine="566"/>
        <w:rPr/>
      </w:pPr>
      <w:r>
        <w:rPr/>
        <w:t xml:space="preserve">Zadaniem producenta mieszanki jest dobór materiałów składowych, kruszywa spełniającego wymagania wyspecyfikowane w p. 2.2 oraz opracowanie składu mieszanki pod względem uziarnienia i procentowej zawartości lepiszcza. </w:t>
      </w:r>
    </w:p>
    <w:p>
      <w:pPr>
        <w:pStyle w:val="Normal"/>
        <w:spacing w:before="0" w:after="40"/>
        <w:ind w:left="256" w:right="461" w:firstLine="566"/>
        <w:rPr/>
      </w:pPr>
      <w:r>
        <w:rPr/>
        <w:t xml:space="preserve">Producent mieszanki przeprowadza również badanie typu, poprzez walidację laboratoryjną, a następnie walidację produkcji na podstawie, której sporządza deklarację właściwości użytkowych wyrobu dla zamierzonego zastosowania. </w:t>
      </w:r>
    </w:p>
    <w:p>
      <w:pPr>
        <w:pStyle w:val="Normal"/>
        <w:spacing w:before="0" w:after="29"/>
        <w:ind w:left="256" w:right="461" w:firstLine="566"/>
        <w:rPr/>
      </w:pPr>
      <w:r>
        <w:rPr/>
        <w:t xml:space="preserve">Deklaruje wszystkie właściwości użytkowe wyrobu łącznie z uziarnieniem wyjściowym mieszanki mineralnej i zawartością asfaltu rozpuszczalnego oraz gęstością i gęstością objętościową mieszanki mineralno-asfaltowej. Mieszanka mineralno-asfaltowa przeznaczona do wbudowania powinna zawierać optymalną ilość asfaltu i spełniać wymagania SST w całym zakresie dopuszczalnych zawartości asfaltu w mieszance. </w:t>
      </w:r>
    </w:p>
    <w:p>
      <w:pPr>
        <w:pStyle w:val="Normal"/>
        <w:spacing w:before="0" w:after="37"/>
        <w:ind w:left="256" w:right="461" w:firstLine="566"/>
        <w:rPr/>
      </w:pPr>
      <w:r>
        <w:rPr/>
        <w:t xml:space="preserve">Producent mieszanki mineralno-asfaltowej przeprowadza badanie typu przy każdej zmianie dostawcy lub złoża materiału, jak również, po stwierdzeniu w trakcie wykonywanych badań zmiany cech produkowanej mieszanki. Wykonawca jest zobowiązany do prowadzenia badań w laboratorium zaakceptowanym przez Zamawiającego lub posiadającym akredytację w zakresie badanych właściwości w celu wykazania, że wbudowywana mieszanka mineralno asfaltowa w sposób ciągły spełnia wymagania specyfikacji w okresie realizacji robót. </w:t>
      </w:r>
    </w:p>
    <w:p>
      <w:pPr>
        <w:pStyle w:val="Normal"/>
        <w:spacing w:before="0" w:after="75"/>
        <w:ind w:left="256" w:right="461" w:firstLine="566"/>
        <w:rPr/>
      </w:pPr>
      <w:r>
        <w:rPr/>
        <w:t>Skład mieszanki AC będzie ustalony na podstawie badań próbek sporządzonych wg metody Marshalla, zagęszczanych 2x50 lub 2x75 uderzeń ubijaka (w zależności od kategorii ruchu) w temperaturze 145</w:t>
      </w:r>
      <w:r>
        <w:rPr>
          <w:vertAlign w:val="superscript"/>
        </w:rPr>
        <w:t>o</w:t>
      </w:r>
      <w:r>
        <w:rPr/>
        <w:t>C±5</w:t>
      </w:r>
      <w:r>
        <w:rPr>
          <w:vertAlign w:val="superscript"/>
        </w:rPr>
        <w:t>o</w:t>
      </w:r>
      <w:r>
        <w:rPr/>
        <w:t>C (dla asfaltów modyfikowanych) lub 140</w:t>
      </w:r>
      <w:r>
        <w:rPr>
          <w:vertAlign w:val="superscript"/>
        </w:rPr>
        <w:t>o</w:t>
      </w:r>
      <w:r>
        <w:rPr/>
        <w:t>C±5</w:t>
      </w:r>
      <w:r>
        <w:rPr>
          <w:vertAlign w:val="superscript"/>
        </w:rPr>
        <w:t>o</w:t>
      </w:r>
      <w:r>
        <w:rPr/>
        <w:t xml:space="preserve">C (dla asfaltów zwykłych). </w:t>
      </w:r>
    </w:p>
    <w:p>
      <w:pPr>
        <w:pStyle w:val="Normal"/>
        <w:ind w:left="838" w:right="461" w:hanging="10"/>
        <w:rPr/>
      </w:pPr>
      <w:r>
        <w:rPr/>
        <w:t xml:space="preserve">Uziarnienie mieszanki mineralnej oraz minimalna zawartość lepiszcza podane są w tablicy 13 </w:t>
      </w:r>
    </w:p>
    <w:p>
      <w:pPr>
        <w:pStyle w:val="Normal"/>
        <w:spacing w:lineRule="auto" w:line="259" w:before="0" w:after="52"/>
        <w:ind w:left="828" w:right="0" w:hanging="0"/>
        <w:jc w:val="left"/>
        <w:rPr/>
      </w:pPr>
      <w:r>
        <w:rPr/>
      </w:r>
    </w:p>
    <w:p>
      <w:pPr>
        <w:pStyle w:val="Normal"/>
        <w:ind w:left="266" w:right="461" w:hanging="10"/>
        <w:rPr/>
      </w:pPr>
      <w:r>
        <w:rPr/>
        <w:t xml:space="preserve">Tablica 13. Uziarnienie mieszanki mineralnej oraz zawartość lepiszcza dla betonu asfaltowego  </w:t>
      </w:r>
    </w:p>
    <w:p>
      <w:pPr>
        <w:pStyle w:val="Normal"/>
        <w:ind w:left="261" w:right="0" w:hanging="121"/>
        <w:rPr/>
      </w:pPr>
      <w:r>
        <w:rPr/>
        <w:drawing>
          <wp:inline distT="0" distB="0" distL="0" distR="0">
            <wp:extent cx="6089650" cy="2279650"/>
            <wp:effectExtent l="0" t="0" r="0" b="0"/>
            <wp:docPr id="3" name="Picture 909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0947" descr=""/>
                    <pic:cNvPicPr>
                      <a:picLocks noChangeAspect="1" noChangeArrowheads="1"/>
                    </pic:cNvPicPr>
                  </pic:nvPicPr>
                  <pic:blipFill>
                    <a:blip r:embed="rId3"/>
                    <a:stretch>
                      <a:fillRect/>
                    </a:stretch>
                  </pic:blipFill>
                  <pic:spPr bwMode="auto">
                    <a:xfrm>
                      <a:off x="0" y="0"/>
                      <a:ext cx="6089650" cy="2279650"/>
                    </a:xfrm>
                    <a:prstGeom prst="rect">
                      <a:avLst/>
                    </a:prstGeom>
                  </pic:spPr>
                </pic:pic>
              </a:graphicData>
            </a:graphic>
          </wp:inline>
        </w:drawing>
      </w:r>
      <w:r>
        <w:rPr/>
        <w:t xml:space="preserve">Wskaźnik wypełnienia K należy obliczyć według w WT-2 2014 załącznik 3 UWAGA: podane minimalne zawartości asfaltu dotyczą AC o referencyjnej gęstości mieszanki </w:t>
      </w:r>
    </w:p>
    <w:p>
      <w:pPr>
        <w:pStyle w:val="Normal"/>
        <w:spacing w:lineRule="auto" w:line="216"/>
        <w:ind w:left="256" w:right="5931" w:firstLine="2849"/>
        <w:rPr/>
      </w:pPr>
      <w:r>
        <w:rPr>
          <w:sz w:val="13"/>
        </w:rPr>
        <w:t xml:space="preserve">3 </w:t>
      </w:r>
      <w:r>
        <w:rPr/>
        <w:t xml:space="preserve">mineralnej równej 2,650 Mg/m . </w:t>
      </w:r>
    </w:p>
    <w:p>
      <w:pPr>
        <w:pStyle w:val="Normal"/>
        <w:spacing w:before="0" w:after="36"/>
        <w:ind w:left="266" w:right="461" w:hanging="10"/>
        <w:rPr/>
      </w:pPr>
      <w:r>
        <w:rPr/>
        <w:t xml:space="preserve">Uwaga: Jeżeli stosowana jest mieszanka kruszywa drobnego niełamanego i łamanego, to należy przyjąć proporcję kruszywa łamanego do niełamanego co najmniej 50/50. </w:t>
      </w:r>
    </w:p>
    <w:p>
      <w:pPr>
        <w:pStyle w:val="Normal"/>
        <w:spacing w:lineRule="auto" w:line="259" w:before="0" w:after="11"/>
        <w:ind w:left="262" w:right="0" w:hanging="0"/>
        <w:jc w:val="left"/>
        <w:rPr/>
      </w:pPr>
      <w:r>
        <w:rPr/>
      </w:r>
    </w:p>
    <w:p>
      <w:pPr>
        <w:pStyle w:val="Normal"/>
        <w:ind w:left="256" w:right="461" w:firstLine="566"/>
        <w:rPr/>
      </w:pPr>
      <w:r>
        <w:rPr/>
        <w:t>W przypadku uzyskania innej gęstości mieszanki mineralnej należy dla minimalnej zawartości lepiszcza (kategoria B</w:t>
      </w:r>
      <w:r>
        <w:rPr>
          <w:vertAlign w:val="subscript"/>
        </w:rPr>
        <w:t>min</w:t>
      </w:r>
      <w:r>
        <w:rPr/>
        <w:t xml:space="preserve"> ) zastosować współczynnik korygujący α wg wzoru: </w:t>
      </w:r>
    </w:p>
    <w:p>
      <w:pPr>
        <w:pStyle w:val="Normal"/>
        <w:spacing w:lineRule="auto" w:line="259" w:before="0" w:after="0"/>
        <w:ind w:left="0" w:right="161" w:hanging="0"/>
        <w:jc w:val="center"/>
        <w:rPr/>
      </w:pPr>
      <w:r>
        <w:rPr/>
      </w:r>
    </w:p>
    <w:p>
      <w:pPr>
        <w:pStyle w:val="Normal"/>
        <w:spacing w:lineRule="auto" w:line="259" w:before="0" w:after="0"/>
        <w:ind w:left="10" w:right="161" w:hanging="10"/>
        <w:jc w:val="center"/>
        <w:rPr/>
      </w:pPr>
      <w:r>
        <w:rPr/>
        <w:t xml:space="preserve">α = </w:t>
      </w:r>
      <w:r>
        <w:rPr/>
        <w:drawing>
          <wp:inline distT="0" distB="0" distL="0" distR="0">
            <wp:extent cx="228600" cy="237490"/>
            <wp:effectExtent l="0" t="0" r="0" b="0"/>
            <wp:docPr id="4" name="Picture 55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585" descr=""/>
                    <pic:cNvPicPr>
                      <a:picLocks noChangeAspect="1" noChangeArrowheads="1"/>
                    </pic:cNvPicPr>
                  </pic:nvPicPr>
                  <pic:blipFill>
                    <a:blip r:embed="rId4"/>
                    <a:stretch>
                      <a:fillRect/>
                    </a:stretch>
                  </pic:blipFill>
                  <pic:spPr bwMode="auto">
                    <a:xfrm>
                      <a:off x="0" y="0"/>
                      <a:ext cx="228600" cy="237490"/>
                    </a:xfrm>
                    <a:prstGeom prst="rect">
                      <a:avLst/>
                    </a:prstGeom>
                  </pic:spPr>
                </pic:pic>
              </a:graphicData>
            </a:graphic>
          </wp:inline>
        </w:drawing>
      </w:r>
    </w:p>
    <w:p>
      <w:pPr>
        <w:pStyle w:val="Normal"/>
        <w:ind w:left="266" w:right="461" w:hanging="10"/>
        <w:rPr/>
      </w:pPr>
      <w:r>
        <w:rPr/>
        <w:t xml:space="preserve">gdzie: </w:t>
      </w:r>
    </w:p>
    <w:p>
      <w:pPr>
        <w:pStyle w:val="Normal"/>
        <w:spacing w:lineRule="auto" w:line="259" w:before="0" w:after="27"/>
        <w:ind w:left="391" w:right="0" w:hanging="0"/>
        <w:jc w:val="left"/>
        <w:rPr/>
      </w:pPr>
      <w:r>
        <w:rPr/>
      </w:r>
    </w:p>
    <w:p>
      <w:pPr>
        <w:pStyle w:val="Normal"/>
        <w:ind w:left="266" w:right="461" w:hanging="10"/>
        <w:rPr/>
      </w:pPr>
      <w:r>
        <w:rPr/>
        <w:t xml:space="preserve">ρa - gęstość mieszanki kruszyw, w megagramach na metr sześcienny (Mg/m3), określona zgodnie z normą PN-EN 1097-6, za pomocą wzoru: </w:t>
      </w:r>
    </w:p>
    <w:p>
      <w:pPr>
        <w:pStyle w:val="Normal"/>
        <w:spacing w:lineRule="auto" w:line="259" w:before="0" w:after="0"/>
        <w:ind w:left="10" w:right="286" w:hanging="10"/>
        <w:jc w:val="center"/>
        <w:rPr/>
      </w:pPr>
      <w:r>
        <w:rPr/>
        <w:t>ρ</w:t>
      </w:r>
      <w:r>
        <w:rPr>
          <w:vertAlign w:val="subscript"/>
        </w:rPr>
        <w:t xml:space="preserve">a </w:t>
      </w:r>
      <w:r>
        <w:rPr/>
        <w:t xml:space="preserve">= </w:t>
      </w:r>
      <w:r>
        <w:rPr/>
        <w:drawing>
          <wp:inline distT="0" distB="0" distL="0" distR="0">
            <wp:extent cx="905510" cy="314325"/>
            <wp:effectExtent l="0" t="0" r="0" b="0"/>
            <wp:docPr id="5" name="Picture 56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611" descr=""/>
                    <pic:cNvPicPr>
                      <a:picLocks noChangeAspect="1" noChangeArrowheads="1"/>
                    </pic:cNvPicPr>
                  </pic:nvPicPr>
                  <pic:blipFill>
                    <a:blip r:embed="rId5"/>
                    <a:stretch>
                      <a:fillRect/>
                    </a:stretch>
                  </pic:blipFill>
                  <pic:spPr bwMode="auto">
                    <a:xfrm>
                      <a:off x="0" y="0"/>
                      <a:ext cx="905510" cy="314325"/>
                    </a:xfrm>
                    <a:prstGeom prst="rect">
                      <a:avLst/>
                    </a:prstGeom>
                  </pic:spPr>
                </pic:pic>
              </a:graphicData>
            </a:graphic>
          </wp:inline>
        </w:drawing>
      </w:r>
    </w:p>
    <w:tbl>
      <w:tblPr>
        <w:tblStyle w:val="TableGrid"/>
        <w:tblW w:w="9271" w:type="dxa"/>
        <w:jc w:val="left"/>
        <w:tblInd w:w="262" w:type="dxa"/>
        <w:tblBorders/>
        <w:tblCellMar>
          <w:top w:w="0" w:type="dxa"/>
          <w:left w:w="108" w:type="dxa"/>
          <w:bottom w:w="0" w:type="dxa"/>
          <w:right w:w="108" w:type="dxa"/>
        </w:tblCellMar>
        <w:tblLook w:val="04a0"/>
      </w:tblPr>
      <w:tblGrid>
        <w:gridCol w:w="1729"/>
        <w:gridCol w:w="7541"/>
      </w:tblGrid>
      <w:tr>
        <w:trPr>
          <w:trHeight w:val="471" w:hRule="atLeast"/>
        </w:trPr>
        <w:tc>
          <w:tcPr>
            <w:tcW w:w="1729" w:type="dxa"/>
            <w:tcBorders/>
            <w:shd w:color="auto" w:fill="auto" w:val="clear"/>
          </w:tcPr>
          <w:p>
            <w:pPr>
              <w:pStyle w:val="Normal"/>
              <w:spacing w:lineRule="auto" w:line="259" w:before="0" w:after="0"/>
              <w:ind w:left="0" w:right="1149" w:hanging="0"/>
              <w:jc w:val="left"/>
              <w:rPr/>
            </w:pPr>
            <w:r>
              <w:rPr/>
              <w:t xml:space="preserve">gdzie: </w:t>
            </w:r>
          </w:p>
        </w:tc>
        <w:tc>
          <w:tcPr>
            <w:tcW w:w="7541" w:type="dxa"/>
            <w:tcBorders/>
            <w:shd w:color="auto" w:fill="auto" w:val="clear"/>
          </w:tcPr>
          <w:p>
            <w:pPr>
              <w:pStyle w:val="Normal"/>
              <w:spacing w:lineRule="auto" w:line="259" w:before="0" w:after="0"/>
              <w:ind w:left="0" w:right="0" w:hanging="0"/>
              <w:jc w:val="left"/>
              <w:rPr/>
            </w:pPr>
            <w:r>
              <w:rPr/>
            </w:r>
          </w:p>
        </w:tc>
      </w:tr>
      <w:tr>
        <w:trPr>
          <w:trHeight w:val="470" w:hRule="atLeast"/>
        </w:trPr>
        <w:tc>
          <w:tcPr>
            <w:tcW w:w="1729" w:type="dxa"/>
            <w:tcBorders/>
            <w:shd w:color="auto" w:fill="auto" w:val="clear"/>
          </w:tcPr>
          <w:p>
            <w:pPr>
              <w:pStyle w:val="Normal"/>
              <w:spacing w:lineRule="auto" w:line="259" w:before="0" w:after="0"/>
              <w:ind w:left="0" w:right="0" w:hanging="0"/>
              <w:jc w:val="left"/>
              <w:rPr/>
            </w:pPr>
            <w:r>
              <w:rPr/>
              <w:t>P</w:t>
            </w:r>
            <w:r>
              <w:rPr>
                <w:vertAlign w:val="subscript"/>
              </w:rPr>
              <w:t>1</w:t>
            </w:r>
            <w:r>
              <w:rPr/>
              <w:t>+P</w:t>
            </w:r>
            <w:r>
              <w:rPr>
                <w:vertAlign w:val="subscript"/>
              </w:rPr>
              <w:t>2</w:t>
            </w:r>
            <w:r>
              <w:rPr/>
              <w:t>+…+P</w:t>
            </w:r>
            <w:r>
              <w:rPr>
                <w:vertAlign w:val="subscript"/>
              </w:rPr>
              <w:t>n</w:t>
            </w:r>
          </w:p>
          <w:p>
            <w:pPr>
              <w:pStyle w:val="Normal"/>
              <w:spacing w:lineRule="auto" w:line="259" w:before="0" w:after="0"/>
              <w:ind w:left="0" w:right="0" w:hanging="0"/>
              <w:jc w:val="left"/>
              <w:rPr/>
            </w:pPr>
            <w:r>
              <w:rPr/>
              <w:t xml:space="preserve">mineralnej) </w:t>
            </w:r>
          </w:p>
        </w:tc>
        <w:tc>
          <w:tcPr>
            <w:tcW w:w="7541" w:type="dxa"/>
            <w:tcBorders/>
            <w:shd w:color="auto" w:fill="auto" w:val="clear"/>
          </w:tcPr>
          <w:p>
            <w:pPr>
              <w:pStyle w:val="Normal"/>
              <w:spacing w:lineRule="auto" w:line="259" w:before="0" w:after="0"/>
              <w:ind w:left="0" w:right="52" w:hanging="0"/>
              <w:jc w:val="right"/>
              <w:rPr/>
            </w:pPr>
            <w:r>
              <w:rPr/>
              <w:t xml:space="preserve">procentowa zawartość poszczególnych frakcji kruszyw (składników mieszanki </w:t>
            </w:r>
          </w:p>
        </w:tc>
      </w:tr>
      <w:tr>
        <w:trPr>
          <w:trHeight w:val="248" w:hRule="atLeast"/>
        </w:trPr>
        <w:tc>
          <w:tcPr>
            <w:tcW w:w="1729" w:type="dxa"/>
            <w:tcBorders/>
            <w:shd w:color="auto" w:fill="auto" w:val="clear"/>
          </w:tcPr>
          <w:p>
            <w:pPr>
              <w:pStyle w:val="Normal"/>
              <w:spacing w:lineRule="auto" w:line="259" w:before="0" w:after="0"/>
              <w:ind w:left="0" w:right="0" w:hanging="0"/>
              <w:jc w:val="left"/>
              <w:rPr/>
            </w:pPr>
            <w:r>
              <w:rPr/>
              <w:t>ρ</w:t>
            </w:r>
            <w:r>
              <w:rPr>
                <w:vertAlign w:val="subscript"/>
              </w:rPr>
              <w:t>1</w:t>
            </w:r>
            <w:r>
              <w:rPr/>
              <w:t>+ρ</w:t>
            </w:r>
            <w:r>
              <w:rPr>
                <w:vertAlign w:val="subscript"/>
              </w:rPr>
              <w:t>2</w:t>
            </w:r>
            <w:r>
              <w:rPr/>
              <w:t>+…+ρ</w:t>
            </w:r>
            <w:r>
              <w:rPr>
                <w:vertAlign w:val="subscript"/>
              </w:rPr>
              <w:t>n</w:t>
            </w:r>
          </w:p>
        </w:tc>
        <w:tc>
          <w:tcPr>
            <w:tcW w:w="7541" w:type="dxa"/>
            <w:tcBorders/>
            <w:shd w:color="auto" w:fill="auto" w:val="clear"/>
          </w:tcPr>
          <w:p>
            <w:pPr>
              <w:pStyle w:val="Normal"/>
              <w:spacing w:lineRule="auto" w:line="259" w:before="0" w:after="0"/>
              <w:ind w:left="0" w:right="54" w:hanging="0"/>
              <w:jc w:val="right"/>
              <w:rPr/>
            </w:pPr>
            <w:r>
              <w:rPr/>
              <w:t xml:space="preserve">gęstość poszczególnych frakcji kruszyw (składników mieszanki mineralnej), </w:t>
            </w:r>
          </w:p>
        </w:tc>
      </w:tr>
    </w:tbl>
    <w:p>
      <w:pPr>
        <w:pStyle w:val="Normal"/>
        <w:spacing w:lineRule="auto" w:line="319"/>
        <w:ind w:left="266" w:right="3564" w:hanging="10"/>
        <w:rPr/>
      </w:pPr>
      <w:r>
        <w:rPr/>
        <w:t>Mg/m</w:t>
      </w:r>
      <w:r>
        <w:rPr>
          <w:vertAlign w:val="superscript"/>
        </w:rPr>
        <w:t>3</w:t>
      </w:r>
      <w:r>
        <w:rPr/>
        <w:t xml:space="preserve">. F </w:t>
        <w:tab/>
        <w:t xml:space="preserve">procentowa zawartość wypełniacza w mieszance mineralnej </w:t>
      </w:r>
    </w:p>
    <w:p>
      <w:pPr>
        <w:pStyle w:val="Normal"/>
        <w:spacing w:lineRule="auto" w:line="216" w:before="0" w:after="42"/>
        <w:ind w:left="256" w:right="6191" w:firstLine="3413"/>
        <w:rPr/>
      </w:pPr>
      <w:r>
        <w:rPr>
          <w:sz w:val="13"/>
        </w:rPr>
        <w:t xml:space="preserve">3 </w:t>
      </w:r>
      <w:r>
        <w:rPr/>
        <w:t>ρ</w:t>
      </w:r>
      <w:r>
        <w:rPr>
          <w:vertAlign w:val="subscript"/>
        </w:rPr>
        <w:t xml:space="preserve">f </w:t>
        <w:tab/>
      </w:r>
      <w:r>
        <w:rPr/>
        <w:t xml:space="preserve">gęstość wypełniacza, Mg/m . </w:t>
      </w:r>
    </w:p>
    <w:p>
      <w:pPr>
        <w:pStyle w:val="Normal"/>
        <w:ind w:left="266" w:right="598" w:hanging="10"/>
        <w:rPr/>
      </w:pPr>
      <w:r>
        <w:rPr/>
        <w:t>W badaniu typu niezależnie od walidacji należy podać procentową ilość lepiszcza w stosunku do mma: całkowitego B, rozpuszczalnego S i nierozpuszczalnego B</w:t>
      </w:r>
      <w:r>
        <w:rPr>
          <w:vertAlign w:val="subscript"/>
        </w:rPr>
        <w:t>n</w:t>
      </w:r>
      <w:r>
        <w:rPr/>
        <w:t xml:space="preserve">, oznaczonego w badaniu ekstrakcji wg normy PN-EN 12697-1 lub zastosowaniem wzoru podanego poniżej. </w:t>
      </w:r>
    </w:p>
    <w:p>
      <w:pPr>
        <w:pStyle w:val="Normal"/>
        <w:spacing w:lineRule="auto" w:line="259" w:before="0" w:after="11"/>
        <w:ind w:left="262" w:right="0" w:hanging="0"/>
        <w:jc w:val="left"/>
        <w:rPr/>
      </w:pPr>
      <w:r>
        <w:rPr/>
      </w:r>
    </w:p>
    <w:p>
      <w:pPr>
        <w:pStyle w:val="Normal"/>
        <w:ind w:left="266" w:right="461" w:hanging="10"/>
        <w:rPr/>
      </w:pPr>
      <w:r>
        <w:rPr>
          <w:b/>
        </w:rPr>
        <w:t xml:space="preserve">Walidacja laboratoryjna </w:t>
      </w:r>
      <w:r>
        <w:rPr/>
        <w:t xml:space="preserve">(wejściowy skład mieszanki mineralno – asfaltowej) </w:t>
      </w:r>
    </w:p>
    <w:p>
      <w:pPr>
        <w:pStyle w:val="Normal"/>
        <w:ind w:left="266" w:right="601" w:hanging="10"/>
        <w:rPr/>
      </w:pPr>
      <w:r>
        <w:rPr>
          <w:b/>
        </w:rPr>
        <w:t xml:space="preserve">Asfalt całkowity B, </w:t>
      </w:r>
      <w:r>
        <w:rPr/>
        <w:t xml:space="preserve">to asfalt dodany Bz do mieszanki mineralnej w laboratorium z ewentualnym doliczeniem asfaltu z granulatu. Łączna ilość asfaltu dodanego i pochodzącego z granulatu nie może być mniejsza od wartości wymaganej do projektowania jako B min, podanego w tablicy 13, skorygowanego o gęstość kruszywa. </w:t>
      </w:r>
    </w:p>
    <w:p>
      <w:pPr>
        <w:pStyle w:val="Normal"/>
        <w:spacing w:lineRule="auto" w:line="259" w:before="0" w:after="37"/>
        <w:ind w:left="262" w:right="0" w:hanging="0"/>
        <w:jc w:val="left"/>
        <w:rPr/>
      </w:pPr>
      <w:r>
        <w:rPr/>
      </w:r>
    </w:p>
    <w:p>
      <w:pPr>
        <w:pStyle w:val="Normal"/>
        <w:ind w:left="266" w:right="461" w:hanging="10"/>
        <w:rPr/>
      </w:pPr>
      <w:r>
        <w:rPr/>
        <w:t>B ≥ B</w:t>
      </w:r>
      <w:r>
        <w:rPr>
          <w:vertAlign w:val="subscript"/>
        </w:rPr>
        <w:t>min</w:t>
      </w:r>
      <w:r>
        <w:rPr/>
        <w:t xml:space="preserve"> x współczynnik α [ % ] </w:t>
      </w:r>
    </w:p>
    <w:p>
      <w:pPr>
        <w:pStyle w:val="Normal"/>
        <w:spacing w:lineRule="auto" w:line="259" w:before="0" w:after="0"/>
        <w:ind w:left="262" w:right="0" w:hanging="0"/>
        <w:jc w:val="left"/>
        <w:rPr/>
      </w:pPr>
      <w:r>
        <w:rPr/>
      </w:r>
    </w:p>
    <w:p>
      <w:pPr>
        <w:pStyle w:val="Normal"/>
        <w:ind w:left="266" w:right="461" w:hanging="10"/>
        <w:rPr/>
      </w:pPr>
      <w:r>
        <w:rPr>
          <w:b/>
        </w:rPr>
        <w:t>Asfalt zadozowany B</w:t>
      </w:r>
      <w:r>
        <w:rPr>
          <w:b/>
          <w:vertAlign w:val="subscript"/>
        </w:rPr>
        <w:t>Z</w:t>
      </w:r>
      <w:r>
        <w:rPr/>
        <w:t xml:space="preserve">, to asfalt dodany do mieszanki w laboratorium </w:t>
      </w:r>
    </w:p>
    <w:p>
      <w:pPr>
        <w:pStyle w:val="Normal"/>
        <w:spacing w:lineRule="auto" w:line="259" w:before="0" w:after="22"/>
        <w:ind w:left="262" w:right="0" w:hanging="0"/>
        <w:jc w:val="left"/>
        <w:rPr/>
      </w:pPr>
      <w:r>
        <w:rPr/>
      </w:r>
    </w:p>
    <w:p>
      <w:pPr>
        <w:pStyle w:val="Normal"/>
        <w:spacing w:before="0" w:after="26"/>
        <w:ind w:left="266" w:right="461" w:hanging="10"/>
        <w:rPr/>
      </w:pPr>
      <w:r>
        <w:rPr>
          <w:b/>
        </w:rPr>
        <w:t>Asfalt nierozpuszczalny B</w:t>
      </w:r>
      <w:r>
        <w:rPr>
          <w:b/>
          <w:vertAlign w:val="subscript"/>
        </w:rPr>
        <w:t>n</w:t>
      </w:r>
      <w:r>
        <w:rPr/>
        <w:t xml:space="preserve">, jest teoretyczną procentową zawartością asfaltu uzyskaną metodą obliczeniową dla betonu asfaltowego według wzoru: </w:t>
      </w:r>
    </w:p>
    <w:p>
      <w:pPr>
        <w:pStyle w:val="Normal"/>
        <w:spacing w:lineRule="auto" w:line="259" w:before="0" w:after="1"/>
        <w:ind w:left="262" w:right="0" w:hanging="0"/>
        <w:jc w:val="left"/>
        <w:rPr/>
      </w:pPr>
      <w:r>
        <w:rPr/>
      </w:r>
    </w:p>
    <w:p>
      <w:pPr>
        <w:pStyle w:val="Normal"/>
        <w:ind w:left="266" w:right="461" w:hanging="10"/>
        <w:rPr/>
      </w:pPr>
      <w:r>
        <w:rPr/>
        <w:t>B</w:t>
      </w:r>
      <w:r>
        <w:rPr>
          <w:vertAlign w:val="subscript"/>
        </w:rPr>
        <w:t>n</w:t>
      </w:r>
      <w:r>
        <w:rPr/>
        <w:t xml:space="preserve"> = 0,014 x F + 0,1 [%] </w:t>
      </w:r>
    </w:p>
    <w:p>
      <w:pPr>
        <w:pStyle w:val="Normal"/>
        <w:spacing w:lineRule="auto" w:line="259" w:before="0" w:after="0"/>
        <w:ind w:left="262" w:right="0" w:hanging="0"/>
        <w:jc w:val="left"/>
        <w:rPr/>
      </w:pPr>
      <w:r>
        <w:rPr/>
      </w:r>
    </w:p>
    <w:p>
      <w:pPr>
        <w:pStyle w:val="Normal"/>
        <w:ind w:left="266" w:right="461" w:hanging="10"/>
        <w:rPr/>
      </w:pPr>
      <w:r>
        <w:rPr/>
        <w:t xml:space="preserve">gdzie: </w:t>
      </w:r>
    </w:p>
    <w:p>
      <w:pPr>
        <w:pStyle w:val="Normal"/>
        <w:tabs>
          <w:tab w:val="center" w:pos="322" w:leader="none"/>
          <w:tab w:val="center" w:pos="4859" w:leader="none"/>
        </w:tabs>
        <w:ind w:left="0" w:right="0" w:hanging="0"/>
        <w:jc w:val="left"/>
        <w:rPr/>
      </w:pPr>
      <w:r>
        <w:rPr>
          <w:rFonts w:eastAsia="Calibri" w:cs="Calibri" w:ascii="Calibri" w:hAnsi="Calibri"/>
          <w:sz w:val="22"/>
        </w:rPr>
        <w:tab/>
      </w:r>
      <w:r>
        <w:rPr/>
        <w:t xml:space="preserve">F </w:t>
        <w:tab/>
        <w:t xml:space="preserve">zawartość ziaren &lt; 0,063 mm w zaprojektowanej mieszance mineralnej, [%] (m/m) </w:t>
      </w:r>
    </w:p>
    <w:p>
      <w:pPr>
        <w:pStyle w:val="Normal"/>
        <w:spacing w:lineRule="auto" w:line="259" w:before="0" w:after="34"/>
        <w:ind w:left="262" w:right="0" w:hanging="0"/>
        <w:jc w:val="left"/>
        <w:rPr/>
      </w:pPr>
      <w:r>
        <w:rPr/>
      </w:r>
    </w:p>
    <w:p>
      <w:pPr>
        <w:pStyle w:val="Normal"/>
        <w:ind w:left="266" w:right="461" w:hanging="10"/>
        <w:rPr/>
      </w:pPr>
      <w:r>
        <w:rPr/>
        <w:t>Wartość B</w:t>
      </w:r>
      <w:r>
        <w:rPr>
          <w:vertAlign w:val="subscript"/>
        </w:rPr>
        <w:t>n</w:t>
      </w:r>
      <w:r>
        <w:rPr/>
        <w:t xml:space="preserve"> należy podawać z dokładnością do 0,1 %. </w:t>
      </w:r>
    </w:p>
    <w:p>
      <w:pPr>
        <w:pStyle w:val="Normal"/>
        <w:spacing w:lineRule="auto" w:line="259" w:before="0" w:after="20"/>
        <w:ind w:left="262" w:right="0" w:hanging="0"/>
        <w:jc w:val="left"/>
        <w:rPr/>
      </w:pPr>
      <w:r>
        <w:rPr/>
      </w:r>
    </w:p>
    <w:p>
      <w:pPr>
        <w:pStyle w:val="Normal"/>
        <w:ind w:left="266" w:right="1050" w:hanging="10"/>
        <w:rPr/>
      </w:pPr>
      <w:r>
        <w:rPr>
          <w:b/>
        </w:rPr>
        <w:t xml:space="preserve">Asfalt rozpuszczalny S, </w:t>
      </w:r>
      <w:r>
        <w:rPr/>
        <w:t>jest to różnica pomiędzy asfaltem całkowitym B, a nierozpuszczalnym B</w:t>
      </w:r>
      <w:r>
        <w:rPr>
          <w:vertAlign w:val="subscript"/>
        </w:rPr>
        <w:t xml:space="preserve">n </w:t>
      </w:r>
      <w:r>
        <w:rPr/>
        <w:t>S = B – B</w:t>
      </w:r>
      <w:r>
        <w:rPr>
          <w:vertAlign w:val="subscript"/>
        </w:rPr>
        <w:t>n</w:t>
      </w:r>
      <w:r>
        <w:rPr/>
        <w:t xml:space="preserve"> [ % ] </w:t>
      </w:r>
    </w:p>
    <w:p>
      <w:pPr>
        <w:pStyle w:val="Normal"/>
        <w:spacing w:lineRule="auto" w:line="259" w:before="0" w:after="13"/>
        <w:ind w:left="262" w:right="0" w:hanging="0"/>
        <w:jc w:val="left"/>
        <w:rPr/>
      </w:pPr>
      <w:r>
        <w:rPr/>
      </w:r>
    </w:p>
    <w:p>
      <w:pPr>
        <w:pStyle w:val="Normal"/>
        <w:spacing w:before="0" w:after="36"/>
        <w:ind w:left="256" w:right="461" w:firstLine="566"/>
        <w:rPr/>
      </w:pPr>
      <w:r>
        <w:rPr/>
        <w:t xml:space="preserve">Skład mieszanki mineralno-asfaltowej powinien być ustalony na podstawie badań próbek wykonanych według metody Marshalla (dotyczy zawartości wolnej przestrzeni i optymalizacji ilości asfaltu), a także pozostałych wynikających z wymagań. Wyniki oznaczeń przedstawić w badaniu typu. </w:t>
      </w:r>
    </w:p>
    <w:p>
      <w:pPr>
        <w:pStyle w:val="Normal"/>
        <w:ind w:left="838" w:right="461" w:hanging="10"/>
        <w:rPr/>
      </w:pPr>
      <w:r>
        <w:rPr/>
        <w:t xml:space="preserve">Wymagane właściwości mieszanki mineralno-asfaltowej podane są w tablicach 14, 15, 16. </w:t>
      </w:r>
    </w:p>
    <w:p>
      <w:pPr>
        <w:pStyle w:val="Normal"/>
        <w:spacing w:lineRule="auto" w:line="259" w:before="0" w:after="54"/>
        <w:ind w:left="828" w:right="0" w:hanging="0"/>
        <w:jc w:val="left"/>
        <w:rPr/>
      </w:pPr>
      <w:r>
        <w:rPr/>
      </w:r>
    </w:p>
    <w:p>
      <w:pPr>
        <w:pStyle w:val="Normal"/>
        <w:ind w:left="266" w:right="461" w:hanging="10"/>
        <w:rPr/>
      </w:pPr>
      <w:r>
        <w:rPr/>
        <w:t xml:space="preserve">Tablica 14. Wymagane właściwości mieszanki mineralno-asfaltowej do warstwy wiążącej i wyrównawczej, dla ruchu KR1 ÷ KR2 </w:t>
      </w:r>
    </w:p>
    <w:tbl>
      <w:tblPr>
        <w:tblStyle w:val="TableGrid"/>
        <w:tblW w:w="9180"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96" w:type="dxa"/>
          <w:bottom w:w="0" w:type="dxa"/>
          <w:right w:w="54" w:type="dxa"/>
        </w:tblCellMar>
        <w:tblLook w:val="04a0"/>
      </w:tblPr>
      <w:tblGrid>
        <w:gridCol w:w="3085"/>
        <w:gridCol w:w="967"/>
        <w:gridCol w:w="593"/>
        <w:gridCol w:w="3404"/>
        <w:gridCol w:w="1131"/>
      </w:tblGrid>
      <w:tr>
        <w:trPr>
          <w:trHeight w:val="276" w:hRule="atLeast"/>
        </w:trPr>
        <w:tc>
          <w:tcPr>
            <w:tcW w:w="30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Właściwość </w:t>
            </w:r>
          </w:p>
        </w:tc>
        <w:tc>
          <w:tcPr>
            <w:tcW w:w="9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Warunki </w:t>
            </w:r>
          </w:p>
        </w:tc>
        <w:tc>
          <w:tcPr>
            <w:tcW w:w="5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61" w:right="0" w:hanging="0"/>
              <w:jc w:val="center"/>
              <w:rPr/>
            </w:pPr>
            <w:r>
              <w:rPr/>
              <w:t>za-</w:t>
            </w:r>
          </w:p>
        </w:tc>
        <w:tc>
          <w:tcPr>
            <w:tcW w:w="34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Metoda i warunki badania </w:t>
            </w:r>
          </w:p>
        </w:tc>
        <w:tc>
          <w:tcPr>
            <w:tcW w:w="11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AC11W </w:t>
            </w:r>
          </w:p>
        </w:tc>
      </w:tr>
      <w:tr>
        <w:trPr>
          <w:trHeight w:val="804" w:hRule="atLeast"/>
        </w:trPr>
        <w:tc>
          <w:tcPr>
            <w:tcW w:w="30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156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7"/>
              <w:ind w:left="2" w:right="0" w:hanging="0"/>
              <w:jc w:val="left"/>
              <w:rPr/>
            </w:pPr>
            <w:r>
              <w:rPr/>
              <w:t xml:space="preserve">gęszczania wg </w:t>
            </w:r>
          </w:p>
          <w:p>
            <w:pPr>
              <w:pStyle w:val="Normal"/>
              <w:spacing w:lineRule="auto" w:line="259" w:before="0" w:after="17"/>
              <w:ind w:left="2" w:right="0" w:hanging="0"/>
              <w:jc w:val="left"/>
              <w:rPr/>
            </w:pPr>
            <w:r>
              <w:rPr/>
              <w:t xml:space="preserve">PN-EN  </w:t>
            </w:r>
          </w:p>
          <w:p>
            <w:pPr>
              <w:pStyle w:val="Normal"/>
              <w:spacing w:lineRule="auto" w:line="259" w:before="0" w:after="0"/>
              <w:ind w:left="2" w:right="0" w:hanging="0"/>
              <w:jc w:val="left"/>
              <w:rPr/>
            </w:pPr>
            <w:r>
              <w:rPr/>
              <w:t xml:space="preserve">13108-20 </w:t>
            </w:r>
          </w:p>
        </w:tc>
        <w:tc>
          <w:tcPr>
            <w:tcW w:w="34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11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r>
      <w:tr>
        <w:trPr>
          <w:trHeight w:val="538" w:hRule="atLeast"/>
        </w:trPr>
        <w:tc>
          <w:tcPr>
            <w:tcW w:w="30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Zawartość wolnych przestrzeni </w:t>
            </w:r>
          </w:p>
        </w:tc>
        <w:tc>
          <w:tcPr>
            <w:tcW w:w="156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50"/>
              <w:ind w:left="2" w:right="0" w:hanging="0"/>
              <w:jc w:val="left"/>
              <w:rPr/>
            </w:pPr>
            <w:r>
              <w:rPr/>
              <w:t xml:space="preserve">C.1.2,ubijanie, </w:t>
            </w:r>
          </w:p>
          <w:p>
            <w:pPr>
              <w:pStyle w:val="Normal"/>
              <w:spacing w:lineRule="auto" w:line="259" w:before="0" w:after="0"/>
              <w:ind w:left="2" w:right="0" w:hanging="0"/>
              <w:jc w:val="left"/>
              <w:rPr/>
            </w:pPr>
            <w:r>
              <w:rPr/>
              <w:t xml:space="preserve">2×50 uderzeń </w:t>
            </w:r>
          </w:p>
        </w:tc>
        <w:tc>
          <w:tcPr>
            <w:tcW w:w="34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7"/>
              <w:ind w:left="2" w:right="0" w:hanging="0"/>
              <w:jc w:val="left"/>
              <w:rPr/>
            </w:pPr>
            <w:r>
              <w:rPr/>
              <w:t xml:space="preserve">PN-EN 12697-8,  </w:t>
            </w:r>
          </w:p>
          <w:p>
            <w:pPr>
              <w:pStyle w:val="Normal"/>
              <w:spacing w:lineRule="auto" w:line="259" w:before="0" w:after="0"/>
              <w:ind w:left="2" w:right="0" w:hanging="0"/>
              <w:jc w:val="left"/>
              <w:rPr/>
            </w:pPr>
            <w:r>
              <w:rPr/>
              <w:t xml:space="preserve">p. 4 </w:t>
            </w:r>
          </w:p>
        </w:tc>
        <w:tc>
          <w:tcPr>
            <w:tcW w:w="11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i/>
              </w:rPr>
              <w:t>V</w:t>
            </w:r>
            <w:r>
              <w:rPr>
                <w:sz w:val="13"/>
              </w:rPr>
              <w:t>min 3,0</w:t>
            </w:r>
            <w:r>
              <w:rPr>
                <w:i/>
              </w:rPr>
              <w:t>V</w:t>
            </w:r>
            <w:r>
              <w:rPr>
                <w:sz w:val="13"/>
              </w:rPr>
              <w:t>max 6,0</w:t>
            </w:r>
          </w:p>
        </w:tc>
      </w:tr>
      <w:tr>
        <w:trPr>
          <w:trHeight w:val="540" w:hRule="atLeast"/>
        </w:trPr>
        <w:tc>
          <w:tcPr>
            <w:tcW w:w="30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Wolne przestrzenie wypełnione lepiszczem </w:t>
            </w:r>
          </w:p>
        </w:tc>
        <w:tc>
          <w:tcPr>
            <w:tcW w:w="156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53"/>
              <w:ind w:left="2" w:right="0" w:hanging="0"/>
              <w:jc w:val="left"/>
              <w:rPr/>
            </w:pPr>
            <w:r>
              <w:rPr/>
              <w:t xml:space="preserve">C.1.2,ubijanie, </w:t>
            </w:r>
          </w:p>
          <w:p>
            <w:pPr>
              <w:pStyle w:val="Normal"/>
              <w:spacing w:lineRule="auto" w:line="259" w:before="0" w:after="0"/>
              <w:ind w:left="2" w:right="0" w:hanging="0"/>
              <w:jc w:val="left"/>
              <w:rPr/>
            </w:pPr>
            <w:r>
              <w:rPr/>
              <w:t xml:space="preserve">2×50 uderzeń </w:t>
            </w:r>
          </w:p>
        </w:tc>
        <w:tc>
          <w:tcPr>
            <w:tcW w:w="34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9"/>
              <w:ind w:left="2" w:right="0" w:hanging="0"/>
              <w:jc w:val="left"/>
              <w:rPr/>
            </w:pPr>
            <w:r>
              <w:rPr/>
              <w:t xml:space="preserve">PN-EN 12697-8,  </w:t>
            </w:r>
          </w:p>
          <w:p>
            <w:pPr>
              <w:pStyle w:val="Normal"/>
              <w:spacing w:lineRule="auto" w:line="259" w:before="0" w:after="0"/>
              <w:ind w:left="2" w:right="0" w:hanging="0"/>
              <w:jc w:val="left"/>
              <w:rPr/>
            </w:pPr>
            <w:r>
              <w:rPr/>
              <w:t xml:space="preserve">p. 5 </w:t>
            </w:r>
          </w:p>
        </w:tc>
        <w:tc>
          <w:tcPr>
            <w:tcW w:w="11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76"/>
              <w:ind w:left="0" w:right="0" w:hanging="0"/>
              <w:jc w:val="left"/>
              <w:rPr/>
            </w:pPr>
            <w:r>
              <w:rPr>
                <w:i/>
              </w:rPr>
              <w:t>VFB</w:t>
            </w:r>
            <w:r>
              <w:rPr>
                <w:i/>
                <w:sz w:val="13"/>
              </w:rPr>
              <w:t xml:space="preserve">min 65 </w:t>
            </w:r>
          </w:p>
          <w:p>
            <w:pPr>
              <w:pStyle w:val="Normal"/>
              <w:spacing w:lineRule="auto" w:line="259" w:before="0" w:after="0"/>
              <w:ind w:left="0" w:right="0" w:hanging="0"/>
              <w:jc w:val="left"/>
              <w:rPr/>
            </w:pPr>
            <w:r>
              <w:rPr>
                <w:i/>
              </w:rPr>
              <w:t>VFB</w:t>
            </w:r>
            <w:r>
              <w:rPr>
                <w:i/>
                <w:sz w:val="13"/>
              </w:rPr>
              <w:t xml:space="preserve">min 80 </w:t>
            </w:r>
          </w:p>
        </w:tc>
      </w:tr>
      <w:tr>
        <w:trPr>
          <w:trHeight w:val="538" w:hRule="atLeast"/>
        </w:trPr>
        <w:tc>
          <w:tcPr>
            <w:tcW w:w="30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rPr/>
            </w:pPr>
            <w:r>
              <w:rPr/>
              <w:t xml:space="preserve">Zawartość wolnych przestrzeni w mieszance mineralnej </w:t>
            </w:r>
          </w:p>
        </w:tc>
        <w:tc>
          <w:tcPr>
            <w:tcW w:w="156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50"/>
              <w:ind w:left="2" w:right="0" w:hanging="0"/>
              <w:jc w:val="left"/>
              <w:rPr/>
            </w:pPr>
            <w:r>
              <w:rPr/>
              <w:t xml:space="preserve">C.1.2,ubijanie, </w:t>
            </w:r>
          </w:p>
          <w:p>
            <w:pPr>
              <w:pStyle w:val="Normal"/>
              <w:spacing w:lineRule="auto" w:line="259" w:before="0" w:after="0"/>
              <w:ind w:left="2" w:right="0" w:hanging="0"/>
              <w:jc w:val="left"/>
              <w:rPr/>
            </w:pPr>
            <w:r>
              <w:rPr/>
              <w:t xml:space="preserve">2×50 uderzeń </w:t>
            </w:r>
          </w:p>
        </w:tc>
        <w:tc>
          <w:tcPr>
            <w:tcW w:w="34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7"/>
              <w:ind w:left="2" w:right="0" w:hanging="0"/>
              <w:jc w:val="left"/>
              <w:rPr/>
            </w:pPr>
            <w:r>
              <w:rPr/>
              <w:t xml:space="preserve">PN-EN 12697-8,  </w:t>
            </w:r>
          </w:p>
          <w:p>
            <w:pPr>
              <w:pStyle w:val="Normal"/>
              <w:spacing w:lineRule="auto" w:line="259" w:before="0" w:after="0"/>
              <w:ind w:left="2" w:right="0" w:hanging="0"/>
              <w:jc w:val="left"/>
              <w:rPr/>
            </w:pPr>
            <w:r>
              <w:rPr/>
              <w:t xml:space="preserve">p. 5 </w:t>
            </w:r>
          </w:p>
        </w:tc>
        <w:tc>
          <w:tcPr>
            <w:tcW w:w="11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i/>
              </w:rPr>
              <w:t>VMA</w:t>
            </w:r>
            <w:r>
              <w:rPr>
                <w:i/>
                <w:sz w:val="13"/>
              </w:rPr>
              <w:t xml:space="preserve">min 14 </w:t>
            </w:r>
          </w:p>
        </w:tc>
      </w:tr>
      <w:tr>
        <w:trPr>
          <w:trHeight w:val="1069" w:hRule="atLeast"/>
        </w:trPr>
        <w:tc>
          <w:tcPr>
            <w:tcW w:w="30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Odporność na działanie wody </w:t>
            </w:r>
          </w:p>
        </w:tc>
        <w:tc>
          <w:tcPr>
            <w:tcW w:w="156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50"/>
              <w:ind w:left="2" w:right="0" w:hanging="0"/>
              <w:jc w:val="left"/>
              <w:rPr/>
            </w:pPr>
            <w:r>
              <w:rPr/>
              <w:t xml:space="preserve">C.1.1,ubijanie, </w:t>
            </w:r>
          </w:p>
          <w:p>
            <w:pPr>
              <w:pStyle w:val="Normal"/>
              <w:spacing w:lineRule="auto" w:line="259" w:before="0" w:after="0"/>
              <w:ind w:left="2" w:right="0" w:hanging="0"/>
              <w:jc w:val="left"/>
              <w:rPr/>
            </w:pPr>
            <w:r>
              <w:rPr/>
              <w:t xml:space="preserve">2×35 uderzeń </w:t>
            </w:r>
          </w:p>
        </w:tc>
        <w:tc>
          <w:tcPr>
            <w:tcW w:w="34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49"/>
              <w:ind w:left="2" w:right="0" w:hanging="0"/>
              <w:jc w:val="left"/>
              <w:rPr/>
            </w:pPr>
            <w:r>
              <w:rPr/>
              <w:t xml:space="preserve">PN-EN 12697-12, przechowywanie </w:t>
            </w:r>
          </w:p>
          <w:p>
            <w:pPr>
              <w:pStyle w:val="Normal"/>
              <w:spacing w:lineRule="auto" w:line="271" w:before="0" w:after="73"/>
              <w:ind w:left="2" w:right="0" w:hanging="0"/>
              <w:rPr/>
            </w:pPr>
            <w:r>
              <w:rPr/>
              <w:t xml:space="preserve">w 40°C z jednym cyklem zamrażania, </w:t>
            </w:r>
            <w:r>
              <w:rPr>
                <w:vertAlign w:val="superscript"/>
              </w:rPr>
              <w:t>a)</w:t>
            </w:r>
          </w:p>
          <w:p>
            <w:pPr>
              <w:pStyle w:val="Normal"/>
              <w:spacing w:lineRule="auto" w:line="259" w:before="0" w:after="0"/>
              <w:ind w:left="2" w:right="0" w:hanging="0"/>
              <w:jc w:val="left"/>
              <w:rPr/>
            </w:pPr>
            <w:r>
              <w:rPr/>
              <w:t xml:space="preserve">badanie w 25°C </w:t>
            </w:r>
          </w:p>
        </w:tc>
        <w:tc>
          <w:tcPr>
            <w:tcW w:w="11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i/>
              </w:rPr>
              <w:t>ITSR</w:t>
            </w:r>
            <w:r>
              <w:rPr>
                <w:i/>
                <w:sz w:val="13"/>
              </w:rPr>
              <w:t>80</w:t>
            </w:r>
          </w:p>
        </w:tc>
      </w:tr>
    </w:tbl>
    <w:p>
      <w:pPr>
        <w:pStyle w:val="Normal"/>
        <w:spacing w:before="0" w:after="46"/>
        <w:ind w:left="266" w:right="461" w:hanging="10"/>
        <w:rPr/>
      </w:pPr>
      <w:r>
        <w:rPr/>
        <w:t xml:space="preserve">a) Ujednoliconą procedurę badania odporności na działanie wody podano w WT-2 2014 w załączniku 1. </w:t>
      </w:r>
    </w:p>
    <w:p>
      <w:pPr>
        <w:pStyle w:val="Normal"/>
        <w:ind w:left="266" w:right="461" w:hanging="10"/>
        <w:rPr/>
      </w:pPr>
      <w:r>
        <w:rPr/>
        <w:t xml:space="preserve">Tablica </w:t>
        <w:tab/>
        <w:t xml:space="preserve">15. </w:t>
        <w:tab/>
        <w:t xml:space="preserve">Wymagane </w:t>
        <w:tab/>
        <w:t xml:space="preserve">właściwości </w:t>
        <w:tab/>
        <w:t xml:space="preserve">mieszanki </w:t>
        <w:tab/>
        <w:t xml:space="preserve">mineralno-asfaltowej </w:t>
        <w:tab/>
        <w:t xml:space="preserve">do </w:t>
        <w:tab/>
        <w:t xml:space="preserve">warstwy </w:t>
        <w:tab/>
        <w:t xml:space="preserve">wiążącej i wyrównawczej, dla ruchu KR3 ÷ KR4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96" w:type="dxa"/>
          <w:bottom w:w="0" w:type="dxa"/>
          <w:right w:w="55" w:type="dxa"/>
        </w:tblCellMar>
        <w:tblLook w:val="04a0"/>
      </w:tblPr>
      <w:tblGrid>
        <w:gridCol w:w="2924"/>
        <w:gridCol w:w="1774"/>
        <w:gridCol w:w="3547"/>
        <w:gridCol w:w="1327"/>
      </w:tblGrid>
      <w:tr>
        <w:trPr>
          <w:trHeight w:val="1068" w:hRule="atLeast"/>
        </w:trPr>
        <w:tc>
          <w:tcPr>
            <w:tcW w:w="2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Właściwość </w:t>
            </w:r>
          </w:p>
        </w:tc>
        <w:tc>
          <w:tcPr>
            <w:tcW w:w="17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76" w:before="0" w:after="0"/>
              <w:ind w:left="0" w:right="58" w:hanging="0"/>
              <w:rPr/>
            </w:pPr>
            <w:r>
              <w:rPr/>
              <w:t xml:space="preserve">Warunki zagęszczania wg PNEN </w:t>
            </w:r>
          </w:p>
          <w:p>
            <w:pPr>
              <w:pStyle w:val="Normal"/>
              <w:spacing w:lineRule="auto" w:line="259" w:before="0" w:after="0"/>
              <w:ind w:left="0" w:right="0" w:hanging="0"/>
              <w:jc w:val="left"/>
              <w:rPr/>
            </w:pPr>
            <w:r>
              <w:rPr/>
              <w:t xml:space="preserve">13108-20 </w:t>
            </w:r>
          </w:p>
        </w:tc>
        <w:tc>
          <w:tcPr>
            <w:tcW w:w="3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Metoda i warunki badania </w:t>
            </w:r>
          </w:p>
        </w:tc>
        <w:tc>
          <w:tcPr>
            <w:tcW w:w="13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AC16W </w:t>
            </w:r>
          </w:p>
        </w:tc>
      </w:tr>
      <w:tr>
        <w:trPr>
          <w:trHeight w:val="540" w:hRule="atLeast"/>
        </w:trPr>
        <w:tc>
          <w:tcPr>
            <w:tcW w:w="2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Zawartość wolnych przestrzeni </w:t>
            </w:r>
          </w:p>
        </w:tc>
        <w:tc>
          <w:tcPr>
            <w:tcW w:w="17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50"/>
              <w:ind w:left="0" w:right="0" w:hanging="0"/>
              <w:jc w:val="left"/>
              <w:rPr/>
            </w:pPr>
            <w:r>
              <w:rPr/>
              <w:t xml:space="preserve">C.1.3,ubijanie, </w:t>
            </w:r>
          </w:p>
          <w:p>
            <w:pPr>
              <w:pStyle w:val="Normal"/>
              <w:spacing w:lineRule="auto" w:line="259" w:before="0" w:after="0"/>
              <w:ind w:left="0" w:right="0" w:hanging="0"/>
              <w:jc w:val="left"/>
              <w:rPr/>
            </w:pPr>
            <w:r>
              <w:rPr/>
              <w:t xml:space="preserve">2×75 uderzeń </w:t>
            </w:r>
          </w:p>
        </w:tc>
        <w:tc>
          <w:tcPr>
            <w:tcW w:w="3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PN-EN 12697-8, p. 4 </w:t>
            </w:r>
          </w:p>
        </w:tc>
        <w:tc>
          <w:tcPr>
            <w:tcW w:w="13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173" w:hanging="0"/>
              <w:jc w:val="left"/>
              <w:rPr/>
            </w:pPr>
            <w:r>
              <w:rPr>
                <w:i/>
              </w:rPr>
              <w:t>V</w:t>
            </w:r>
            <w:r>
              <w:rPr>
                <w:sz w:val="13"/>
              </w:rPr>
              <w:t>min 4,0</w:t>
            </w:r>
            <w:r>
              <w:rPr>
                <w:i/>
              </w:rPr>
              <w:t>V</w:t>
            </w:r>
            <w:r>
              <w:rPr>
                <w:sz w:val="13"/>
              </w:rPr>
              <w:t>max 7,0</w:t>
            </w:r>
          </w:p>
        </w:tc>
      </w:tr>
      <w:tr>
        <w:trPr>
          <w:trHeight w:val="802" w:hRule="atLeast"/>
        </w:trPr>
        <w:tc>
          <w:tcPr>
            <w:tcW w:w="2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Odporność na deformacje </w:t>
            </w:r>
          </w:p>
          <w:p>
            <w:pPr>
              <w:pStyle w:val="Normal"/>
              <w:spacing w:lineRule="auto" w:line="259" w:before="0" w:after="0"/>
              <w:ind w:left="2" w:right="1489" w:firstLine="588"/>
              <w:jc w:val="left"/>
              <w:rPr/>
            </w:pPr>
            <w:r>
              <w:rPr>
                <w:sz w:val="13"/>
              </w:rPr>
              <w:t xml:space="preserve">a) </w:t>
            </w:r>
            <w:r>
              <w:rPr/>
              <w:t xml:space="preserve">trwałe </w:t>
            </w:r>
          </w:p>
        </w:tc>
        <w:tc>
          <w:tcPr>
            <w:tcW w:w="17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7"/>
              <w:ind w:left="0" w:right="0" w:hanging="0"/>
              <w:jc w:val="left"/>
              <w:rPr/>
            </w:pPr>
            <w:r>
              <w:rPr/>
              <w:t>C.1.20, wałowa-</w:t>
            </w:r>
          </w:p>
          <w:p>
            <w:pPr>
              <w:pStyle w:val="Normal"/>
              <w:spacing w:lineRule="auto" w:line="259" w:before="0" w:after="0"/>
              <w:ind w:left="0" w:right="543" w:hanging="0"/>
              <w:jc w:val="left"/>
              <w:rPr/>
            </w:pPr>
            <w:r>
              <w:rPr/>
              <w:t>nie, P</w:t>
            </w:r>
            <w:r>
              <w:rPr>
                <w:sz w:val="13"/>
              </w:rPr>
              <w:t>98</w:t>
            </w:r>
            <w:r>
              <w:rPr/>
              <w:t>-P</w:t>
            </w:r>
            <w:r>
              <w:rPr>
                <w:sz w:val="13"/>
              </w:rPr>
              <w:t>100</w:t>
            </w:r>
          </w:p>
        </w:tc>
        <w:tc>
          <w:tcPr>
            <w:tcW w:w="3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76" w:before="0" w:after="17"/>
              <w:ind w:left="0" w:right="0" w:hanging="0"/>
              <w:rPr/>
            </w:pPr>
            <w:r>
              <w:rPr/>
              <w:t xml:space="preserve">PN-EN 12697-22, metoda B w powietrzu, PN-EN 13108-20, </w:t>
            </w:r>
          </w:p>
          <w:p>
            <w:pPr>
              <w:pStyle w:val="Normal"/>
              <w:spacing w:lineRule="auto" w:line="259" w:before="0" w:after="0"/>
              <w:ind w:left="0" w:right="0" w:hanging="0"/>
              <w:jc w:val="left"/>
              <w:rPr/>
            </w:pPr>
            <w:r>
              <w:rPr/>
              <w:t xml:space="preserve">D.1.6,60°C, 10 000 cykli </w:t>
            </w:r>
          </w:p>
        </w:tc>
        <w:tc>
          <w:tcPr>
            <w:tcW w:w="13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74"/>
              <w:ind w:left="0" w:right="0" w:hanging="0"/>
              <w:jc w:val="left"/>
              <w:rPr/>
            </w:pPr>
            <w:r>
              <w:rPr>
                <w:i/>
              </w:rPr>
              <w:t>WTS</w:t>
            </w:r>
            <w:r>
              <w:rPr>
                <w:i/>
                <w:sz w:val="13"/>
              </w:rPr>
              <w:t xml:space="preserve">AIR 0,15 </w:t>
            </w:r>
          </w:p>
          <w:p>
            <w:pPr>
              <w:pStyle w:val="Normal"/>
              <w:spacing w:lineRule="auto" w:line="259" w:before="0" w:after="0"/>
              <w:ind w:left="0" w:right="0" w:hanging="0"/>
              <w:jc w:val="left"/>
              <w:rPr/>
            </w:pPr>
            <w:r>
              <w:rPr>
                <w:i/>
              </w:rPr>
              <w:t>PRD</w:t>
            </w:r>
            <w:r>
              <w:rPr>
                <w:i/>
                <w:sz w:val="13"/>
              </w:rPr>
              <w:t>AIR 7,0</w:t>
            </w:r>
          </w:p>
        </w:tc>
      </w:tr>
      <w:tr>
        <w:trPr>
          <w:trHeight w:val="804" w:hRule="atLeast"/>
        </w:trPr>
        <w:tc>
          <w:tcPr>
            <w:tcW w:w="2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Odporność na działanie wody </w:t>
            </w:r>
          </w:p>
        </w:tc>
        <w:tc>
          <w:tcPr>
            <w:tcW w:w="17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50"/>
              <w:ind w:left="0" w:right="0" w:hanging="0"/>
              <w:jc w:val="left"/>
              <w:rPr/>
            </w:pPr>
            <w:r>
              <w:rPr/>
              <w:t xml:space="preserve">C.1.1,ubijanie, </w:t>
            </w:r>
          </w:p>
          <w:p>
            <w:pPr>
              <w:pStyle w:val="Normal"/>
              <w:spacing w:lineRule="auto" w:line="259" w:before="0" w:after="0"/>
              <w:ind w:left="0" w:right="0" w:hanging="0"/>
              <w:jc w:val="left"/>
              <w:rPr/>
            </w:pPr>
            <w:r>
              <w:rPr/>
              <w:t xml:space="preserve">2×35 uderzeń </w:t>
            </w:r>
          </w:p>
        </w:tc>
        <w:tc>
          <w:tcPr>
            <w:tcW w:w="3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9" w:hanging="0"/>
              <w:rPr/>
            </w:pPr>
            <w:r>
              <w:rPr/>
              <w:t xml:space="preserve">PN-EN 12697-12, przechowywanie w 40°C z jednym cyklem zamrażania, badanie w 25°C </w:t>
            </w:r>
            <w:r>
              <w:rPr>
                <w:vertAlign w:val="superscript"/>
              </w:rPr>
              <w:t>b)</w:t>
            </w:r>
          </w:p>
        </w:tc>
        <w:tc>
          <w:tcPr>
            <w:tcW w:w="13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i/>
              </w:rPr>
              <w:t>ITS</w:t>
            </w:r>
            <w:r>
              <w:rPr>
                <w:i/>
                <w:sz w:val="13"/>
              </w:rPr>
              <w:t>80</w:t>
            </w:r>
          </w:p>
        </w:tc>
      </w:tr>
    </w:tbl>
    <w:p>
      <w:pPr>
        <w:pStyle w:val="Normal"/>
        <w:numPr>
          <w:ilvl w:val="0"/>
          <w:numId w:val="5"/>
        </w:numPr>
        <w:spacing w:before="0" w:after="44"/>
        <w:ind w:left="683" w:right="461" w:hanging="427"/>
        <w:rPr/>
      </w:pPr>
      <w:r>
        <w:rPr/>
        <w:t xml:space="preserve">Grubość płyty: AC16wynosi 60mm. </w:t>
      </w:r>
    </w:p>
    <w:p>
      <w:pPr>
        <w:pStyle w:val="Normal"/>
        <w:numPr>
          <w:ilvl w:val="0"/>
          <w:numId w:val="5"/>
        </w:numPr>
        <w:ind w:left="683" w:right="461" w:hanging="427"/>
        <w:rPr/>
      </w:pPr>
      <w:r>
        <w:rPr/>
        <w:t xml:space="preserve">Ujednoliconą procedurę badania odporności na działanie wody podano w WT-2 2014 w załączniku </w:t>
      </w:r>
    </w:p>
    <w:p>
      <w:pPr>
        <w:pStyle w:val="Normal"/>
        <w:ind w:left="699" w:right="461" w:hanging="10"/>
        <w:rPr/>
      </w:pPr>
      <w:r>
        <w:rPr/>
        <w:t xml:space="preserve">1. </w:t>
      </w:r>
    </w:p>
    <w:p>
      <w:pPr>
        <w:pStyle w:val="Normal"/>
        <w:spacing w:lineRule="auto" w:line="259" w:before="0" w:after="51"/>
        <w:ind w:left="262" w:right="0" w:hanging="0"/>
        <w:jc w:val="left"/>
        <w:rPr/>
      </w:pPr>
      <w:r>
        <w:rPr/>
      </w:r>
    </w:p>
    <w:p>
      <w:pPr>
        <w:pStyle w:val="Normal"/>
        <w:ind w:left="266" w:right="461" w:hanging="10"/>
        <w:rPr/>
      </w:pPr>
      <w:r>
        <w:rPr/>
        <w:t xml:space="preserve">Tablica 16. Wymagane właściwości mieszanki mineralno-asfaltowej ACWMS do warstwy wiążącej KR5KR6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6" w:type="dxa"/>
          <w:bottom w:w="0" w:type="dxa"/>
          <w:right w:w="55" w:type="dxa"/>
        </w:tblCellMar>
        <w:tblLook w:val="04a0"/>
      </w:tblPr>
      <w:tblGrid>
        <w:gridCol w:w="2394"/>
        <w:gridCol w:w="2234"/>
        <w:gridCol w:w="2547"/>
        <w:gridCol w:w="2397"/>
      </w:tblGrid>
      <w:tr>
        <w:trPr>
          <w:trHeight w:val="1047" w:hRule="atLeast"/>
        </w:trPr>
        <w:tc>
          <w:tcPr>
            <w:tcW w:w="2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Właściwości </w:t>
            </w:r>
          </w:p>
        </w:tc>
        <w:tc>
          <w:tcPr>
            <w:tcW w:w="22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rPr/>
            </w:pPr>
            <w:r>
              <w:rPr/>
              <w:t xml:space="preserve">Warunki zagęszczenia wg PN-EN 13108-20 </w:t>
            </w:r>
          </w:p>
        </w:tc>
        <w:tc>
          <w:tcPr>
            <w:tcW w:w="2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Metoda i warunki badania </w:t>
            </w:r>
          </w:p>
        </w:tc>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ACWMS16 </w:t>
            </w:r>
          </w:p>
        </w:tc>
      </w:tr>
      <w:tr>
        <w:trPr>
          <w:trHeight w:val="862" w:hRule="atLeast"/>
        </w:trPr>
        <w:tc>
          <w:tcPr>
            <w:tcW w:w="2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Zawartość wolnych przestrzeni </w:t>
            </w:r>
          </w:p>
        </w:tc>
        <w:tc>
          <w:tcPr>
            <w:tcW w:w="22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C.1.3, ubijanie 2x75 uderzeń </w:t>
            </w:r>
          </w:p>
        </w:tc>
        <w:tc>
          <w:tcPr>
            <w:tcW w:w="2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PN-EN 12697-8, p.4 </w:t>
            </w:r>
          </w:p>
        </w:tc>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96"/>
              <w:ind w:left="2" w:right="0" w:hanging="0"/>
              <w:jc w:val="left"/>
              <w:rPr/>
            </w:pPr>
            <w:r>
              <w:rPr/>
              <w:t>V</w:t>
            </w:r>
            <w:r>
              <w:rPr>
                <w:sz w:val="13"/>
              </w:rPr>
              <w:t xml:space="preserve">min 2,0 </w:t>
            </w:r>
          </w:p>
          <w:p>
            <w:pPr>
              <w:pStyle w:val="Normal"/>
              <w:spacing w:lineRule="auto" w:line="259" w:before="0" w:after="0"/>
              <w:ind w:left="2" w:right="0" w:hanging="0"/>
              <w:jc w:val="left"/>
              <w:rPr/>
            </w:pPr>
            <w:r>
              <w:rPr/>
              <w:t>V</w:t>
            </w:r>
            <w:r>
              <w:rPr>
                <w:sz w:val="13"/>
              </w:rPr>
              <w:t xml:space="preserve">min 4,0 </w:t>
            </w:r>
          </w:p>
        </w:tc>
      </w:tr>
      <w:tr>
        <w:trPr>
          <w:trHeight w:val="1330" w:hRule="atLeast"/>
        </w:trPr>
        <w:tc>
          <w:tcPr>
            <w:tcW w:w="2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Odporność na działanie wody </w:t>
            </w:r>
          </w:p>
        </w:tc>
        <w:tc>
          <w:tcPr>
            <w:tcW w:w="22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C.1.1, ubijanie 2x35 uderzeń </w:t>
            </w:r>
          </w:p>
        </w:tc>
        <w:tc>
          <w:tcPr>
            <w:tcW w:w="2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302" w:before="0" w:after="0"/>
              <w:ind w:left="0" w:right="226" w:hanging="0"/>
              <w:jc w:val="left"/>
              <w:rPr/>
            </w:pPr>
            <w:r>
              <w:rPr/>
              <w:t>PN-EN 12697-12, przechowywanie w 40</w:t>
            </w:r>
            <w:r>
              <w:rPr>
                <w:vertAlign w:val="superscript"/>
              </w:rPr>
              <w:t>o</w:t>
            </w:r>
            <w:r>
              <w:rPr/>
              <w:t>C z jednym cyklem zamrażania , badanie w 25</w:t>
            </w:r>
            <w:r>
              <w:rPr>
                <w:vertAlign w:val="superscript"/>
              </w:rPr>
              <w:t>o</w:t>
            </w:r>
            <w:r>
              <w:rPr/>
              <w:t xml:space="preserve">C </w:t>
            </w:r>
          </w:p>
          <w:p>
            <w:pPr>
              <w:pStyle w:val="Normal"/>
              <w:spacing w:lineRule="auto" w:line="259" w:before="0" w:after="0"/>
              <w:ind w:left="475" w:right="0" w:hanging="0"/>
              <w:jc w:val="left"/>
              <w:rPr/>
            </w:pPr>
            <w:r>
              <w:rPr>
                <w:sz w:val="13"/>
              </w:rPr>
              <w:t>b)</w:t>
            </w:r>
          </w:p>
        </w:tc>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ITSR</w:t>
            </w:r>
            <w:r>
              <w:rPr>
                <w:vertAlign w:val="subscript"/>
              </w:rPr>
              <w:t>80</w:t>
            </w:r>
          </w:p>
        </w:tc>
      </w:tr>
      <w:tr>
        <w:trPr>
          <w:trHeight w:val="1068" w:hRule="atLeast"/>
        </w:trPr>
        <w:tc>
          <w:tcPr>
            <w:tcW w:w="2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17"/>
              <w:ind w:left="2" w:right="0" w:hanging="0"/>
              <w:jc w:val="left"/>
              <w:rPr/>
            </w:pPr>
            <w:r>
              <w:rPr/>
              <w:t>Odporność na deforma-</w:t>
            </w:r>
          </w:p>
          <w:p>
            <w:pPr>
              <w:pStyle w:val="Normal"/>
              <w:spacing w:lineRule="auto" w:line="259" w:before="0" w:after="0"/>
              <w:ind w:left="2" w:right="0" w:hanging="0"/>
              <w:jc w:val="left"/>
              <w:rPr/>
            </w:pPr>
            <w:r>
              <w:rPr/>
              <w:t>cje trwałe</w:t>
            </w:r>
            <w:r>
              <w:rPr>
                <w:sz w:val="13"/>
              </w:rPr>
              <w:t xml:space="preserve">a) c) </w:t>
            </w:r>
          </w:p>
        </w:tc>
        <w:tc>
          <w:tcPr>
            <w:tcW w:w="22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85"/>
              <w:ind w:left="0" w:right="0" w:hanging="0"/>
              <w:jc w:val="left"/>
              <w:rPr/>
            </w:pPr>
            <w:r>
              <w:rPr/>
              <w:t>C1.20, wałowanie P</w:t>
            </w:r>
            <w:r>
              <w:rPr>
                <w:vertAlign w:val="subscript"/>
              </w:rPr>
              <w:t>98</w:t>
            </w:r>
            <w:r>
              <w:rPr/>
              <w:t xml:space="preserve">- </w:t>
            </w:r>
          </w:p>
          <w:p>
            <w:pPr>
              <w:pStyle w:val="Normal"/>
              <w:spacing w:lineRule="auto" w:line="259" w:before="0" w:after="0"/>
              <w:ind w:left="0" w:right="0" w:hanging="0"/>
              <w:jc w:val="left"/>
              <w:rPr/>
            </w:pPr>
            <w:r>
              <w:rPr/>
              <w:t>P</w:t>
            </w:r>
            <w:r>
              <w:rPr>
                <w:vertAlign w:val="subscript"/>
              </w:rPr>
              <w:t>100</w:t>
            </w:r>
          </w:p>
        </w:tc>
        <w:tc>
          <w:tcPr>
            <w:tcW w:w="2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9"/>
              <w:ind w:left="0" w:right="0" w:hanging="0"/>
              <w:jc w:val="left"/>
              <w:rPr/>
            </w:pPr>
            <w:r>
              <w:rPr/>
              <w:t xml:space="preserve">PN-EN 12697-12, metoda </w:t>
            </w:r>
          </w:p>
          <w:p>
            <w:pPr>
              <w:pStyle w:val="Normal"/>
              <w:spacing w:lineRule="auto" w:line="259" w:before="0" w:after="39"/>
              <w:ind w:left="0" w:right="0" w:hanging="0"/>
              <w:jc w:val="left"/>
              <w:rPr/>
            </w:pPr>
            <w:r>
              <w:rPr/>
              <w:t xml:space="preserve">B w powietrzu, PN-EN </w:t>
            </w:r>
          </w:p>
          <w:p>
            <w:pPr>
              <w:pStyle w:val="Normal"/>
              <w:spacing w:lineRule="auto" w:line="259" w:before="0" w:after="35"/>
              <w:ind w:left="0" w:right="0" w:hanging="0"/>
              <w:jc w:val="left"/>
              <w:rPr/>
            </w:pPr>
            <w:r>
              <w:rPr/>
              <w:t>13108-20, D.1.6, 60</w:t>
            </w:r>
            <w:r>
              <w:rPr>
                <w:vertAlign w:val="superscript"/>
              </w:rPr>
              <w:t>o</w:t>
            </w:r>
            <w:r>
              <w:rPr/>
              <w:t xml:space="preserve">C, </w:t>
            </w:r>
          </w:p>
          <w:p>
            <w:pPr>
              <w:pStyle w:val="Normal"/>
              <w:spacing w:lineRule="auto" w:line="259" w:before="0" w:after="0"/>
              <w:ind w:left="0" w:right="0" w:hanging="0"/>
              <w:jc w:val="left"/>
              <w:rPr/>
            </w:pPr>
            <w:r>
              <w:rPr/>
              <w:t xml:space="preserve">10000 cykli </w:t>
            </w:r>
          </w:p>
        </w:tc>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463" w:hanging="0"/>
              <w:jc w:val="left"/>
              <w:rPr/>
            </w:pPr>
            <w:r>
              <w:rPr/>
              <w:t>WTS</w:t>
            </w:r>
            <w:r>
              <w:rPr>
                <w:sz w:val="13"/>
              </w:rPr>
              <w:t xml:space="preserve">AIR0,15 </w:t>
            </w:r>
            <w:r>
              <w:rPr/>
              <w:t>PRD</w:t>
            </w:r>
            <w:r>
              <w:rPr>
                <w:vertAlign w:val="subscript"/>
              </w:rPr>
              <w:t>AIR5,0</w:t>
            </w:r>
          </w:p>
        </w:tc>
      </w:tr>
      <w:tr>
        <w:trPr>
          <w:trHeight w:val="540" w:hRule="atLeast"/>
        </w:trPr>
        <w:tc>
          <w:tcPr>
            <w:tcW w:w="2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Sztywność klasa </w:t>
            </w:r>
          </w:p>
        </w:tc>
        <w:tc>
          <w:tcPr>
            <w:tcW w:w="22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87"/>
              <w:ind w:left="0" w:right="0" w:hanging="0"/>
              <w:jc w:val="left"/>
              <w:rPr/>
            </w:pPr>
            <w:r>
              <w:rPr/>
              <w:t>C1.20, wałowanie P</w:t>
            </w:r>
            <w:r>
              <w:rPr>
                <w:vertAlign w:val="subscript"/>
              </w:rPr>
              <w:t>98</w:t>
            </w:r>
            <w:r>
              <w:rPr/>
              <w:t xml:space="preserve">- </w:t>
            </w:r>
          </w:p>
          <w:p>
            <w:pPr>
              <w:pStyle w:val="Normal"/>
              <w:spacing w:lineRule="auto" w:line="259" w:before="0" w:after="0"/>
              <w:ind w:left="0" w:right="0" w:hanging="0"/>
              <w:jc w:val="left"/>
              <w:rPr/>
            </w:pPr>
            <w:r>
              <w:rPr/>
              <w:t>P</w:t>
            </w:r>
            <w:r>
              <w:rPr>
                <w:vertAlign w:val="subscript"/>
              </w:rPr>
              <w:t>100</w:t>
            </w:r>
          </w:p>
        </w:tc>
        <w:tc>
          <w:tcPr>
            <w:tcW w:w="2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47"/>
              <w:ind w:left="0" w:right="0" w:hanging="0"/>
              <w:jc w:val="left"/>
              <w:rPr/>
            </w:pPr>
            <w:r>
              <w:rPr/>
              <w:t>PN-EN 12697-12, 4PB-</w:t>
            </w:r>
          </w:p>
          <w:p>
            <w:pPr>
              <w:pStyle w:val="Normal"/>
              <w:spacing w:lineRule="auto" w:line="259" w:before="0" w:after="0"/>
              <w:ind w:left="0" w:right="0" w:hanging="0"/>
              <w:jc w:val="left"/>
              <w:rPr/>
            </w:pPr>
            <w:r>
              <w:rPr/>
              <w:t>PR, temp. 10</w:t>
            </w:r>
            <w:r>
              <w:rPr>
                <w:vertAlign w:val="superscript"/>
              </w:rPr>
              <w:t>o</w:t>
            </w:r>
            <w:r>
              <w:rPr/>
              <w:t>C, często-</w:t>
            </w:r>
          </w:p>
        </w:tc>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93"/>
              <w:ind w:left="2" w:right="0" w:hanging="0"/>
              <w:jc w:val="left"/>
              <w:rPr/>
            </w:pPr>
            <w:r>
              <w:rPr/>
              <w:t>S</w:t>
            </w:r>
            <w:r>
              <w:rPr>
                <w:sz w:val="13"/>
              </w:rPr>
              <w:t xml:space="preserve">min 11000 </w:t>
            </w:r>
          </w:p>
          <w:p>
            <w:pPr>
              <w:pStyle w:val="Normal"/>
              <w:spacing w:lineRule="auto" w:line="259" w:before="0" w:after="0"/>
              <w:ind w:left="2" w:right="0" w:hanging="0"/>
              <w:jc w:val="left"/>
              <w:rPr/>
            </w:pPr>
            <w:r>
              <w:rPr/>
              <w:t>S</w:t>
            </w:r>
            <w:r>
              <w:rPr>
                <w:sz w:val="13"/>
              </w:rPr>
              <w:t>max 17000</w:t>
            </w:r>
          </w:p>
        </w:tc>
      </w:tr>
      <w:tr>
        <w:trPr>
          <w:trHeight w:val="274" w:hRule="atLeast"/>
        </w:trPr>
        <w:tc>
          <w:tcPr>
            <w:tcW w:w="2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22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2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tliwość 10Hz </w:t>
            </w:r>
          </w:p>
        </w:tc>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r>
      <w:tr>
        <w:trPr>
          <w:trHeight w:val="804" w:hRule="atLeast"/>
        </w:trPr>
        <w:tc>
          <w:tcPr>
            <w:tcW w:w="2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9"/>
              <w:ind w:left="2" w:right="0" w:hanging="0"/>
              <w:jc w:val="left"/>
              <w:rPr/>
            </w:pPr>
            <w:r>
              <w:rPr/>
              <w:t>Odporność na zmęcze-</w:t>
            </w:r>
          </w:p>
          <w:p>
            <w:pPr>
              <w:pStyle w:val="Normal"/>
              <w:spacing w:lineRule="auto" w:line="259" w:before="0" w:after="0"/>
              <w:ind w:left="2" w:right="0" w:hanging="0"/>
              <w:jc w:val="left"/>
              <w:rPr/>
            </w:pPr>
            <w:r>
              <w:rPr/>
              <w:t xml:space="preserve">nie, kategoria nie niższa niż </w:t>
            </w:r>
          </w:p>
        </w:tc>
        <w:tc>
          <w:tcPr>
            <w:tcW w:w="22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87"/>
              <w:ind w:left="0" w:right="0" w:hanging="0"/>
              <w:jc w:val="left"/>
              <w:rPr/>
            </w:pPr>
            <w:r>
              <w:rPr/>
              <w:t>C1.20, wałowanie P</w:t>
            </w:r>
            <w:r>
              <w:rPr>
                <w:vertAlign w:val="subscript"/>
              </w:rPr>
              <w:t>98</w:t>
            </w:r>
            <w:r>
              <w:rPr/>
              <w:t xml:space="preserve">- </w:t>
            </w:r>
          </w:p>
          <w:p>
            <w:pPr>
              <w:pStyle w:val="Normal"/>
              <w:spacing w:lineRule="auto" w:line="259" w:before="0" w:after="0"/>
              <w:ind w:left="0" w:right="0" w:hanging="0"/>
              <w:jc w:val="left"/>
              <w:rPr/>
            </w:pPr>
            <w:r>
              <w:rPr/>
              <w:t>P</w:t>
            </w:r>
            <w:r>
              <w:rPr>
                <w:vertAlign w:val="subscript"/>
              </w:rPr>
              <w:t>100</w:t>
            </w:r>
          </w:p>
        </w:tc>
        <w:tc>
          <w:tcPr>
            <w:tcW w:w="25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PN-EN 12697-12, 4PBPR, temp. 10</w:t>
            </w:r>
            <w:r>
              <w:rPr>
                <w:vertAlign w:val="superscript"/>
              </w:rPr>
              <w:t>o</w:t>
            </w:r>
            <w:r>
              <w:rPr/>
              <w:t xml:space="preserve">C, częstotliwość 10Hz </w:t>
            </w:r>
          </w:p>
        </w:tc>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ε</w:t>
            </w:r>
            <w:r>
              <w:rPr>
                <w:sz w:val="13"/>
              </w:rPr>
              <w:t>6-130</w:t>
            </w:r>
          </w:p>
        </w:tc>
      </w:tr>
      <w:tr>
        <w:trPr>
          <w:trHeight w:val="1332" w:hRule="atLeast"/>
        </w:trPr>
        <w:tc>
          <w:tcPr>
            <w:tcW w:w="9572"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sz w:val="13"/>
              </w:rPr>
              <w:t xml:space="preserve">a) </w:t>
            </w:r>
          </w:p>
          <w:p>
            <w:pPr>
              <w:pStyle w:val="Normal"/>
              <w:spacing w:lineRule="auto" w:line="259" w:before="0" w:after="0"/>
              <w:ind w:left="2" w:right="6153" w:firstLine="151"/>
              <w:jc w:val="left"/>
              <w:rPr/>
            </w:pPr>
            <w:r>
              <w:rPr/>
              <w:t xml:space="preserve">Grubość płyty: ACWMS16 60mm </w:t>
            </w:r>
            <w:r>
              <w:rPr>
                <w:sz w:val="13"/>
              </w:rPr>
              <w:t>b)</w:t>
            </w:r>
          </w:p>
          <w:p>
            <w:pPr>
              <w:pStyle w:val="Normal"/>
              <w:spacing w:lineRule="auto" w:line="307" w:before="0" w:after="0"/>
              <w:ind w:left="2" w:right="0" w:firstLine="115"/>
              <w:rPr/>
            </w:pPr>
            <w:r>
              <w:rPr/>
              <w:t xml:space="preserve">Ujednoliconą procedurę badania odporności na działanie wody z jednym cyklem zamrażania podano w załączniku 1. </w:t>
            </w:r>
          </w:p>
          <w:p>
            <w:pPr>
              <w:pStyle w:val="Normal"/>
              <w:spacing w:lineRule="auto" w:line="259" w:before="0" w:after="0"/>
              <w:ind w:left="2" w:right="0" w:hanging="0"/>
              <w:jc w:val="left"/>
              <w:rPr/>
            </w:pPr>
            <w:r>
              <w:rPr>
                <w:sz w:val="13"/>
              </w:rPr>
              <w:t>c)</w:t>
            </w:r>
          </w:p>
          <w:p>
            <w:pPr>
              <w:pStyle w:val="Normal"/>
              <w:spacing w:lineRule="auto" w:line="259" w:before="0" w:after="0"/>
              <w:ind w:left="2" w:right="0" w:firstLine="108"/>
              <w:rPr/>
            </w:pPr>
            <w:r>
              <w:rPr/>
              <w:t xml:space="preserve">Ujednoliconą procedurę kondycjonowania krótkoterminowego mma przed zagęszczaniem próbek do badań podano w załączniku 2 </w:t>
            </w:r>
          </w:p>
        </w:tc>
      </w:tr>
    </w:tbl>
    <w:p>
      <w:pPr>
        <w:pStyle w:val="Normal"/>
        <w:spacing w:lineRule="auto" w:line="259" w:before="0" w:after="45"/>
        <w:ind w:left="262" w:right="0" w:hanging="0"/>
        <w:jc w:val="left"/>
        <w:rPr/>
      </w:pPr>
      <w:r>
        <w:rPr/>
      </w:r>
    </w:p>
    <w:p>
      <w:pPr>
        <w:pStyle w:val="Normal"/>
        <w:ind w:left="266" w:right="461" w:hanging="10"/>
        <w:rPr/>
      </w:pPr>
      <w:r>
        <w:rPr/>
        <w:t xml:space="preserve">UWAGA: gęstość mm-a należy oznaczyć zgodnie z PN-EN 12697-5, metoda B w wodzie </w:t>
      </w:r>
    </w:p>
    <w:p>
      <w:pPr>
        <w:pStyle w:val="Normal"/>
        <w:spacing w:lineRule="auto" w:line="259" w:before="0" w:after="9"/>
        <w:ind w:left="262" w:right="0" w:hanging="0"/>
        <w:jc w:val="left"/>
        <w:rPr/>
      </w:pPr>
      <w:r>
        <w:rPr/>
      </w:r>
    </w:p>
    <w:p>
      <w:pPr>
        <w:pStyle w:val="Normal"/>
        <w:ind w:left="256" w:right="461" w:firstLine="566"/>
        <w:rPr/>
      </w:pPr>
      <w:r>
        <w:rPr/>
        <w:t xml:space="preserve">Zastosowane kruszywo mineralne i lepiszcze asfaltowe powinny wykazywać odpowiednie powinowactwo fizykochemiczne, gwarantujące odpowiednią przyczepność (adhezję) lepiszcza do kruszywa i odporność mieszanki mineralno-asfaltowej na działanie wody. W celu poprawy powinowactwa lepiszcza asfaltowego do kruszywa należy stosować środki poprawiające adhezję. Środek adhezyjny i jego ilość powinny być dostosowane do konkretnej pary kruszywo-lepiszcze. Ocenę przyczepności należy określić na wybranej frakcji mieszanki mineralnej wg PN-EN 12697-11, metoda A. Przyczepność lepiszcza do kruszywa powinna wynosić co najmniej 80% po 6 godzinach badania. </w:t>
      </w:r>
    </w:p>
    <w:p>
      <w:pPr>
        <w:pStyle w:val="Normal"/>
        <w:spacing w:lineRule="auto" w:line="259" w:before="0" w:after="14"/>
        <w:ind w:left="262" w:right="0" w:hanging="0"/>
        <w:jc w:val="left"/>
        <w:rPr/>
      </w:pPr>
      <w:r>
        <w:rPr/>
      </w:r>
    </w:p>
    <w:p>
      <w:pPr>
        <w:pStyle w:val="Nagwek2"/>
        <w:tabs>
          <w:tab w:val="center" w:pos="427" w:leader="none"/>
          <w:tab w:val="center" w:pos="2962" w:leader="none"/>
        </w:tabs>
        <w:spacing w:before="0" w:after="48"/>
        <w:ind w:left="0" w:right="470" w:hanging="0"/>
        <w:rPr/>
      </w:pPr>
      <w:r>
        <w:rPr>
          <w:rFonts w:eastAsia="Calibri" w:cs="Calibri" w:ascii="Calibri" w:hAnsi="Calibri"/>
          <w:b w:val="false"/>
          <w:sz w:val="22"/>
        </w:rPr>
        <w:tab/>
      </w:r>
      <w:r>
        <w:rPr/>
        <w:t xml:space="preserve">5.6. </w:t>
        <w:tab/>
        <w:t xml:space="preserve">Wytwarzanie mieszanki mineralno-asfaltowej </w:t>
      </w:r>
    </w:p>
    <w:p>
      <w:pPr>
        <w:pStyle w:val="Normal"/>
        <w:ind w:left="838" w:right="461" w:hanging="10"/>
        <w:rPr/>
      </w:pPr>
      <w:r>
        <w:rPr/>
        <w:t xml:space="preserve">Należy stosować wymagania zawarte w „WT-2 2014 Mieszanki mineralno-asfaltowe”. </w:t>
      </w:r>
    </w:p>
    <w:p>
      <w:pPr>
        <w:pStyle w:val="Normal"/>
        <w:ind w:left="838" w:right="461" w:hanging="10"/>
        <w:rPr/>
      </w:pPr>
      <w:r>
        <w:rPr/>
        <w:t xml:space="preserve">Produkcja mieszanki powinna odbywać się na WMA o cyklicznym systemie produkcji mieszanki. </w:t>
      </w:r>
    </w:p>
    <w:p>
      <w:pPr>
        <w:pStyle w:val="Normal"/>
        <w:ind w:left="266" w:right="461" w:hanging="10"/>
        <w:rPr/>
      </w:pPr>
      <w:r>
        <w:rPr/>
        <w:t xml:space="preserve">Dozowanie składników mieszanki mineralno-asfaltowej powinno być wagowe i zautomatyzowane.  </w:t>
      </w:r>
    </w:p>
    <w:p>
      <w:pPr>
        <w:pStyle w:val="Normal"/>
        <w:spacing w:lineRule="auto" w:line="259" w:before="0" w:after="17"/>
        <w:ind w:left="828" w:right="0" w:hanging="0"/>
        <w:jc w:val="left"/>
        <w:rPr/>
      </w:pPr>
      <w:r>
        <w:rPr/>
      </w:r>
    </w:p>
    <w:p>
      <w:pPr>
        <w:pStyle w:val="Normal"/>
        <w:ind w:left="256" w:right="461" w:firstLine="566"/>
        <w:rPr/>
      </w:pPr>
      <w:r>
        <w:rPr/>
        <w:t xml:space="preserve">Mieszankę mineralno-asfaltową należy produkować w otaczarce, zapewniającej prawidłowe dozowanie składników, ich wysuszenie i wymieszanie oraz zachowanie temperatury składników i gotowej mieszanki mineralno-asfaltowej. Sposób i czas mieszania składników mieszanki mineralno-asfaltowej powinny zapewnić równomierne otoczenie kruszywa lepiszczem. </w:t>
      </w:r>
    </w:p>
    <w:p>
      <w:pPr>
        <w:pStyle w:val="Normal"/>
        <w:ind w:left="256" w:right="461" w:firstLine="566"/>
        <w:rPr/>
      </w:pPr>
      <w:r>
        <w:rPr/>
        <w:t xml:space="preserve">Dozowanie składników mieszanki mineralno-asfaltowej w otaczarkach, w tym także wstępne, powinno być zautomatyzowane i zgodne z receptą roboczą, a urządzenia do dozowania składników oraz pomiaru temperatury powinny być okresowo sprawdzane. </w:t>
      </w:r>
    </w:p>
    <w:p>
      <w:pPr>
        <w:pStyle w:val="Normal"/>
        <w:ind w:left="838" w:right="461" w:hanging="10"/>
        <w:rPr/>
      </w:pPr>
      <w:r>
        <w:rPr/>
        <w:t xml:space="preserve">System dozowania środków adhezyjnych powinien zapewnić jednorodność dozowania. </w:t>
      </w:r>
    </w:p>
    <w:p>
      <w:pPr>
        <w:pStyle w:val="Normal"/>
        <w:ind w:left="256" w:right="461" w:firstLine="566"/>
        <w:rPr/>
      </w:pPr>
      <w:r>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190°C dla asfaltu drogowego 35/50 oraz 180°C dla asfaltu PmB 25/55-60 </w:t>
      </w:r>
    </w:p>
    <w:p>
      <w:pPr>
        <w:pStyle w:val="Normal"/>
        <w:ind w:left="256" w:right="461" w:firstLine="566"/>
        <w:rPr/>
      </w:pPr>
      <w:r>
        <w:rPr/>
        <w:t xml:space="preserve">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17 w tej tablicy najniższa temperatura dotyczy mieszanki mineralno-asfaltowej dostarczonej na miejsce wbudowania, a najwyższa temperatura dotyczy mieszanki mineralno-asfaltowej bezpośrednio po wytworzeniu w wytwórni. </w:t>
      </w:r>
    </w:p>
    <w:p>
      <w:pPr>
        <w:pStyle w:val="Normal"/>
        <w:spacing w:lineRule="auto" w:line="259" w:before="0" w:after="18"/>
        <w:ind w:left="828" w:right="0" w:hanging="0"/>
        <w:jc w:val="left"/>
        <w:rPr/>
      </w:pPr>
      <w:r>
        <w:rPr/>
      </w:r>
    </w:p>
    <w:p>
      <w:pPr>
        <w:pStyle w:val="Normal"/>
        <w:ind w:left="266" w:right="461" w:hanging="10"/>
        <w:rPr/>
      </w:pPr>
      <w:r>
        <w:rPr/>
        <w:t xml:space="preserve">Tablica 17. Najwyższa i najniższa temperatura mieszanki AC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96" w:type="dxa"/>
          <w:bottom w:w="0" w:type="dxa"/>
          <w:right w:w="115" w:type="dxa"/>
        </w:tblCellMar>
        <w:tblLook w:val="04a0"/>
      </w:tblPr>
      <w:tblGrid>
        <w:gridCol w:w="4584"/>
        <w:gridCol w:w="4988"/>
      </w:tblGrid>
      <w:tr>
        <w:trPr>
          <w:trHeight w:val="274" w:hRule="atLeast"/>
        </w:trPr>
        <w:tc>
          <w:tcPr>
            <w:tcW w:w="45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Lepiszcze asfaltowe </w:t>
            </w:r>
          </w:p>
        </w:tc>
        <w:tc>
          <w:tcPr>
            <w:tcW w:w="49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Temperatura mieszanki [°C] </w:t>
            </w:r>
          </w:p>
        </w:tc>
      </w:tr>
      <w:tr>
        <w:trPr>
          <w:trHeight w:val="804" w:hRule="atLeast"/>
        </w:trPr>
        <w:tc>
          <w:tcPr>
            <w:tcW w:w="45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7"/>
              <w:ind w:left="2" w:right="0" w:hanging="0"/>
              <w:jc w:val="left"/>
              <w:rPr/>
            </w:pPr>
            <w:r>
              <w:rPr/>
              <w:t xml:space="preserve">Asfalt PmB 25/55-60 </w:t>
            </w:r>
          </w:p>
          <w:p>
            <w:pPr>
              <w:pStyle w:val="Normal"/>
              <w:spacing w:lineRule="auto" w:line="259" w:before="0" w:after="19"/>
              <w:ind w:left="2" w:right="0" w:hanging="0"/>
              <w:jc w:val="left"/>
              <w:rPr/>
            </w:pPr>
            <w:r>
              <w:rPr/>
              <w:t xml:space="preserve">Asfalt 35/50 </w:t>
            </w:r>
          </w:p>
          <w:p>
            <w:pPr>
              <w:pStyle w:val="Normal"/>
              <w:spacing w:lineRule="auto" w:line="259" w:before="0" w:after="0"/>
              <w:ind w:left="2" w:right="0" w:hanging="0"/>
              <w:jc w:val="left"/>
              <w:rPr/>
            </w:pPr>
            <w:r>
              <w:rPr/>
              <w:t xml:space="preserve">Asfalt 50/70 </w:t>
            </w:r>
          </w:p>
        </w:tc>
        <w:tc>
          <w:tcPr>
            <w:tcW w:w="49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3211" w:hanging="0"/>
              <w:jc w:val="left"/>
              <w:rPr/>
            </w:pPr>
            <w:r>
              <w:rPr/>
              <w:t xml:space="preserve">od 140 do 180 od 155 do 195 od 140 do 180 </w:t>
            </w:r>
          </w:p>
        </w:tc>
      </w:tr>
    </w:tbl>
    <w:p>
      <w:pPr>
        <w:pStyle w:val="Normal"/>
        <w:spacing w:lineRule="auto" w:line="259" w:before="0" w:after="49"/>
        <w:ind w:left="262" w:right="0" w:hanging="0"/>
        <w:jc w:val="left"/>
        <w:rPr/>
      </w:pPr>
      <w:r>
        <w:rPr/>
      </w:r>
    </w:p>
    <w:p>
      <w:pPr>
        <w:pStyle w:val="Normal"/>
        <w:ind w:left="256" w:right="461" w:firstLine="566"/>
        <w:rPr/>
      </w:pPr>
      <w:r>
        <w:rPr/>
        <w:t xml:space="preserve">Sposób i czas mieszania składników mieszanki mineralno-asfaltowej powinny zapewnić równomierne otoczenie kruszywa lepiszczem asfaltowym i ustalony zostanie podczas próby technologicznej. </w:t>
      </w:r>
    </w:p>
    <w:p>
      <w:pPr>
        <w:pStyle w:val="Normal"/>
        <w:ind w:left="256" w:right="461" w:firstLine="566"/>
        <w:rPr/>
      </w:pPr>
      <w:r>
        <w:rPr/>
        <w:t xml:space="preserve">Dopuszcza się dostawy mieszanek mineralno-asfaltowych z kilku wytwórni, pod warunkiem skoordynowania między sobą deklarowanych przydatności mieszanek (m.in.: typ, rodzaj składników, właściwości objętościowe) z zachowaniem braku różnic w ich właściwościach. </w:t>
      </w:r>
    </w:p>
    <w:p>
      <w:pPr>
        <w:pStyle w:val="Normal"/>
        <w:spacing w:lineRule="auto" w:line="259" w:before="0" w:after="46"/>
        <w:ind w:left="262" w:right="0" w:hanging="0"/>
        <w:jc w:val="left"/>
        <w:rPr/>
      </w:pPr>
      <w:r>
        <w:rPr/>
      </w:r>
    </w:p>
    <w:p>
      <w:pPr>
        <w:pStyle w:val="Normal"/>
        <w:ind w:left="266" w:right="461" w:hanging="10"/>
        <w:rPr/>
      </w:pPr>
      <w:r>
        <w:rPr>
          <w:b/>
        </w:rPr>
        <w:t xml:space="preserve">5.7. Przygotowanie podłoża </w:t>
      </w:r>
      <w:r>
        <w:rPr/>
        <w:t xml:space="preserve">Przed ułożeniem warstwy z betonu asfaltowego warstwa leżąca poniżej warstwy układanej będzie skropiona emulsją asfaltową zgodnie z SST D-04.03.01. Brzegi krawężników i innych urządzeń przylegających do nawierzchni powinny być posmarowane gorącym asfaltem lub asfaltem modyfikowanym (w zależności od rodzaju asfaltu użytego w mieszance AC) lub oklejone taśmą bitumiczną. </w:t>
      </w:r>
    </w:p>
    <w:p>
      <w:pPr>
        <w:pStyle w:val="Normal"/>
        <w:ind w:left="256" w:right="461" w:firstLine="566"/>
        <w:rPr/>
      </w:pPr>
      <w:r>
        <w:rPr/>
        <w:t xml:space="preserve">Podłoże (podbudowa) pod warstwę wiążącą z betonu asfaltowego powinno być na całej powierzchni: </w:t>
      </w:r>
    </w:p>
    <w:p>
      <w:pPr>
        <w:pStyle w:val="Normal"/>
        <w:numPr>
          <w:ilvl w:val="0"/>
          <w:numId w:val="6"/>
        </w:numPr>
        <w:spacing w:before="0" w:after="47"/>
        <w:ind w:left="1255" w:right="461" w:hanging="427"/>
        <w:rPr/>
      </w:pPr>
      <w:r>
        <w:rPr/>
        <w:t xml:space="preserve">ustabilizowane i nośne, </w:t>
      </w:r>
    </w:p>
    <w:p>
      <w:pPr>
        <w:pStyle w:val="Normal"/>
        <w:numPr>
          <w:ilvl w:val="0"/>
          <w:numId w:val="6"/>
        </w:numPr>
        <w:spacing w:before="0" w:after="29"/>
        <w:ind w:left="1255" w:right="461" w:hanging="427"/>
        <w:rPr/>
      </w:pPr>
      <w:r>
        <w:rPr/>
        <w:t xml:space="preserve">czyste, bez zanieczyszczenia lub pozostałości luźnego kruszywa, </w:t>
      </w:r>
    </w:p>
    <w:p>
      <w:pPr>
        <w:pStyle w:val="Normal"/>
        <w:numPr>
          <w:ilvl w:val="0"/>
          <w:numId w:val="6"/>
        </w:numPr>
        <w:spacing w:before="0" w:after="31"/>
        <w:ind w:left="1255" w:right="461" w:hanging="427"/>
        <w:rPr/>
      </w:pPr>
      <w:r>
        <w:rPr/>
        <w:t xml:space="preserve">równe i bez kolein, </w:t>
      </w:r>
      <w:r>
        <w:rPr>
          <w:rFonts w:eastAsia="Times New Roman" w:cs="Times New Roman" w:ascii="Times New Roman" w:hAnsi="Times New Roman"/>
        </w:rPr>
        <w:t>–</w:t>
      </w:r>
      <w:r>
        <w:rPr/>
        <w:tab/>
        <w:t xml:space="preserve">suche. </w:t>
      </w:r>
    </w:p>
    <w:p>
      <w:pPr>
        <w:pStyle w:val="Normal"/>
        <w:ind w:left="838" w:right="461" w:hanging="10"/>
        <w:rPr/>
      </w:pPr>
      <w:r>
        <w:rPr/>
        <w:t xml:space="preserve">Wymagana równość podłoża jest określona w SST D-04.07.01a.  </w:t>
      </w:r>
    </w:p>
    <w:p>
      <w:pPr>
        <w:pStyle w:val="Normal"/>
        <w:spacing w:lineRule="auto" w:line="259" w:before="0" w:after="53"/>
        <w:ind w:left="262" w:right="0" w:hanging="0"/>
        <w:jc w:val="left"/>
        <w:rPr/>
      </w:pPr>
      <w:r>
        <w:rPr/>
        <w:tab/>
      </w:r>
    </w:p>
    <w:p>
      <w:pPr>
        <w:pStyle w:val="Normal"/>
        <w:ind w:left="256" w:right="461" w:firstLine="566"/>
        <w:rPr/>
      </w:pPr>
      <w:r>
        <w:rPr/>
        <w:t xml:space="preserve">Rzędne wysokościowe podłoża oraz urządzeń usytuowanych w nawierzchni lub ją ograniczających powinny być zgodne z dokumentacją projektową. z podłoża powinien być zapewniony odpływ wody. </w:t>
      </w:r>
    </w:p>
    <w:p>
      <w:pPr>
        <w:pStyle w:val="Normal"/>
        <w:ind w:left="256" w:right="461" w:firstLine="566"/>
        <w:rPr/>
      </w:pPr>
      <w:r>
        <w:rPr/>
        <w:t xml:space="preserve">Mieszankę mineralno-asfaltową należy produkować w otaczarce, zapewniającej prawidłowe dozowanie składników, ich wysuszenie i wymieszanie oraz zachowanie temperatury składników i gotowej mieszanki mineralno-asfaltowej. Sposób i czas mieszania składników mieszanki mineralno-asfaltowej powinny zapewnić równomierne otoczenie kruszywa lepiszczem. </w:t>
      </w:r>
    </w:p>
    <w:p>
      <w:pPr>
        <w:pStyle w:val="Normal"/>
        <w:ind w:left="256" w:right="461" w:firstLine="566"/>
        <w:rPr/>
      </w:pPr>
      <w:r>
        <w:rPr/>
        <w:t xml:space="preserve">Dozowanie składników mieszanki mineralno-asfaltowej w otaczarkach, w tym także wstępne, powinno być zautomatyzowane i zgodne z receptą roboczą, a urządzenia do dozowania składników oraz pomiaru temperatury powinny być okresowo sprawdzane. System dozowania środków adhezyjnych powinien zapewnić jednorodność dozowania. </w:t>
      </w:r>
    </w:p>
    <w:p>
      <w:pPr>
        <w:pStyle w:val="Normal"/>
        <w:spacing w:lineRule="auto" w:line="259" w:before="0" w:after="43"/>
        <w:ind w:left="262" w:right="0" w:hanging="0"/>
        <w:jc w:val="left"/>
        <w:rPr/>
      </w:pPr>
      <w:r>
        <w:rPr/>
      </w:r>
    </w:p>
    <w:p>
      <w:pPr>
        <w:pStyle w:val="Nagwek2"/>
        <w:tabs>
          <w:tab w:val="center" w:pos="427" w:leader="none"/>
          <w:tab w:val="center" w:pos="1865" w:leader="none"/>
        </w:tabs>
        <w:ind w:left="0" w:right="470" w:hanging="0"/>
        <w:rPr/>
      </w:pPr>
      <w:r>
        <w:rPr>
          <w:rFonts w:eastAsia="Calibri" w:cs="Calibri" w:ascii="Calibri" w:hAnsi="Calibri"/>
          <w:b w:val="false"/>
          <w:sz w:val="22"/>
        </w:rPr>
        <w:tab/>
      </w:r>
      <w:r>
        <w:rPr/>
        <w:t xml:space="preserve">5.8. </w:t>
        <w:tab/>
        <w:t xml:space="preserve">Próba technologiczna </w:t>
      </w:r>
    </w:p>
    <w:p>
      <w:pPr>
        <w:pStyle w:val="Normal"/>
        <w:ind w:left="838" w:right="461" w:hanging="10"/>
        <w:rPr/>
      </w:pPr>
      <w:r>
        <w:rPr/>
        <w:t xml:space="preserve">Należy stosować wymagania zawarte w WT-2 2014. </w:t>
      </w:r>
    </w:p>
    <w:p>
      <w:pPr>
        <w:pStyle w:val="Normal"/>
        <w:ind w:left="256" w:right="461" w:firstLine="566"/>
        <w:rPr/>
      </w:pPr>
      <w:r>
        <w:rPr/>
        <w:t xml:space="preserve">Wykonawca przed przystąpieniem do produkcji mieszanki jest zobowiązany do przeprowadzenia w obecności Inżyniera próby technologicznej, która ma na celu sprawdzenie zgodności właściwości wyprodukowanej mieszanki z receptą. </w:t>
      </w:r>
    </w:p>
    <w:p>
      <w:pPr>
        <w:pStyle w:val="Normal"/>
        <w:ind w:left="256" w:right="461" w:firstLine="566"/>
        <w:rPr/>
      </w:pPr>
      <w:r>
        <w:rPr/>
        <w:t xml:space="preserve">Nie dopuszcza się oceniania dokładności pracy otaczarki oraz prawidłowości składu mieszanki mineralnej na podstawie tzw. suchego zarobu, z uwagi na możliwą segregację kruszywa. </w:t>
      </w:r>
    </w:p>
    <w:p>
      <w:pPr>
        <w:pStyle w:val="Normal"/>
        <w:ind w:left="256" w:right="461" w:firstLine="566"/>
        <w:rPr/>
      </w:pPr>
      <w:r>
        <w:rPr/>
        <w:t xml:space="preserve">W terminie 10 dni przed przystąpieniem do wykonywania warstwy z betonu asfaltowego Wykonawca w obecności Inżyniera, podczas wykonywania próby technologicznej lub odcinka próbnego, pobierze do badań próbki mieszanki zgodnie z PN-EN 12697-27 i przekaże do Laboratorium Zamawiającego w celu przeprowadzenia badań kontrolnych. </w:t>
      </w:r>
    </w:p>
    <w:p>
      <w:pPr>
        <w:pStyle w:val="Normal"/>
        <w:ind w:left="256" w:right="461" w:firstLine="566"/>
        <w:rPr/>
      </w:pPr>
      <w:r>
        <w:rPr/>
        <w:t xml:space="preserve">Na podstawie pozytywnych wyników badań mieszanki i wyników badań z odcinka próbnego Inżynier może podjąć decyzję o rozpoczęciu wykonywania warstwy. </w:t>
      </w:r>
    </w:p>
    <w:p>
      <w:pPr>
        <w:pStyle w:val="Normal"/>
        <w:ind w:left="256" w:right="461" w:firstLine="566"/>
        <w:rPr/>
      </w:pPr>
      <w:r>
        <w:rPr/>
        <w:t xml:space="preserve">Tolerancje zawartości składników AC lub AC WMS względem składu zaprojektowanego powinny być zgodne z wymaganiami p.6.1. </w:t>
      </w:r>
    </w:p>
    <w:p>
      <w:pPr>
        <w:pStyle w:val="Normal"/>
        <w:spacing w:lineRule="auto" w:line="259" w:before="0" w:after="10"/>
        <w:ind w:left="828" w:right="0" w:hanging="0"/>
        <w:jc w:val="left"/>
        <w:rPr/>
      </w:pPr>
      <w:r>
        <w:rPr/>
      </w:r>
    </w:p>
    <w:p>
      <w:pPr>
        <w:pStyle w:val="Nagwek2"/>
        <w:tabs>
          <w:tab w:val="center" w:pos="427" w:leader="none"/>
          <w:tab w:val="center" w:pos="1588" w:leader="none"/>
        </w:tabs>
        <w:ind w:left="0" w:right="470" w:hanging="0"/>
        <w:rPr/>
      </w:pPr>
      <w:r>
        <w:rPr>
          <w:rFonts w:eastAsia="Calibri" w:cs="Calibri" w:ascii="Calibri" w:hAnsi="Calibri"/>
          <w:b w:val="false"/>
          <w:sz w:val="22"/>
        </w:rPr>
        <w:tab/>
      </w:r>
      <w:r>
        <w:rPr/>
        <w:t xml:space="preserve">5.9. </w:t>
        <w:tab/>
        <w:t xml:space="preserve">Odcinek próbny </w:t>
      </w:r>
    </w:p>
    <w:p>
      <w:pPr>
        <w:pStyle w:val="Normal"/>
        <w:spacing w:lineRule="auto" w:line="259" w:before="0" w:after="52"/>
        <w:ind w:left="828" w:right="0" w:hanging="0"/>
        <w:jc w:val="left"/>
        <w:rPr/>
      </w:pPr>
      <w:r>
        <w:rPr/>
      </w:r>
    </w:p>
    <w:p>
      <w:pPr>
        <w:pStyle w:val="Normal"/>
        <w:ind w:left="256" w:right="461" w:firstLine="566"/>
        <w:rPr/>
      </w:pPr>
      <w:r>
        <w:rPr/>
        <w:t xml:space="preserve">Na żądanie Inżyniera, Wykonawca powinien wykonać odcinek próbny o długości przynajmniej 300m na całej szerokości jednej jezdni. Wykonawca powinien wykonać odcinek próbny w celu: </w:t>
      </w:r>
    </w:p>
    <w:p>
      <w:pPr>
        <w:pStyle w:val="Normal"/>
        <w:numPr>
          <w:ilvl w:val="0"/>
          <w:numId w:val="7"/>
        </w:numPr>
        <w:ind w:left="1394" w:right="461" w:hanging="566"/>
        <w:rPr/>
      </w:pPr>
      <w:r>
        <w:rPr/>
        <w:t xml:space="preserve">zdefiniowania parametrów produkcyjnych mieszanki AC lub AC WMS; </w:t>
      </w:r>
    </w:p>
    <w:p>
      <w:pPr>
        <w:pStyle w:val="Normal"/>
        <w:numPr>
          <w:ilvl w:val="0"/>
          <w:numId w:val="7"/>
        </w:numPr>
        <w:ind w:left="1394" w:right="461" w:hanging="566"/>
        <w:rPr/>
      </w:pPr>
      <w:r>
        <w:rPr/>
        <w:t xml:space="preserve">sprawdzenia, czy użyty sprzęt do rozkładania i zagęszczania mieszanki jest właściwy, </w:t>
      </w:r>
    </w:p>
    <w:p>
      <w:pPr>
        <w:pStyle w:val="Normal"/>
        <w:numPr>
          <w:ilvl w:val="0"/>
          <w:numId w:val="7"/>
        </w:numPr>
        <w:ind w:left="1394" w:right="461" w:hanging="566"/>
        <w:rPr/>
      </w:pPr>
      <w:r>
        <w:rPr/>
        <w:t xml:space="preserve">określenia grubości warstwy mieszanki mineralno-asfaltowej przed zagęszczeniem, koniecznej do uzyskania wymaganej warstwy, </w:t>
      </w:r>
    </w:p>
    <w:p>
      <w:pPr>
        <w:pStyle w:val="Normal"/>
        <w:numPr>
          <w:ilvl w:val="0"/>
          <w:numId w:val="7"/>
        </w:numPr>
        <w:ind w:left="1394" w:right="461" w:hanging="566"/>
        <w:rPr/>
      </w:pPr>
      <w:r>
        <w:rPr/>
        <w:t xml:space="preserve">określenia potrzebnej ilości przejść walców dla uzyskania prawidłowego zagęszczenia warstwy. </w:t>
      </w:r>
    </w:p>
    <w:p>
      <w:pPr>
        <w:pStyle w:val="Normal"/>
        <w:ind w:left="256" w:right="461" w:firstLine="566"/>
        <w:rPr/>
      </w:pPr>
      <w:r>
        <w:rPr/>
        <w:t xml:space="preserve">Do wykonania odcinka próbnego, Wykonawca powinien zastosować takie same materiały oraz sprzęt, jakie będą stosowane do wykonania warstwy AC lub AC WMS podczas robót. Odcinek próbny powinien być zlokalizowany w miejscu uzgodnionym z Inżynierem. </w:t>
      </w:r>
    </w:p>
    <w:p>
      <w:pPr>
        <w:pStyle w:val="Normal"/>
        <w:ind w:left="256" w:right="461" w:firstLine="566"/>
        <w:rPr/>
      </w:pPr>
      <w:r>
        <w:rPr/>
        <w:t xml:space="preserve">Odcinek próbny powinien być zlokalizowany w miejscu uzgodnionym z Inżynierem. w terminie 10 dni przed przystąpieniem do wykonywania warstwy z betonu asfaltowego Wykonawca w obecności Inżyniera, podczas wykonywania próby technologicznej lub odcinka próbnego, pobierze do badań próbki mieszanki zgodnie z PN-EN 12697-27 i przekaże do Laboratorium Zamawiającego w celu przeprowadzenia badań kontrolnych. Na podstawie pozytywnych wyników badań mieszanki i wyników badań z odcinka próbnego Inżynier może podjąć decyzję o rozpoczęciu wykonywania warstwy. </w:t>
      </w:r>
    </w:p>
    <w:p>
      <w:pPr>
        <w:pStyle w:val="Normal"/>
        <w:ind w:left="256" w:right="461" w:firstLine="566"/>
        <w:rPr/>
      </w:pPr>
      <w:r>
        <w:rPr/>
        <w:t xml:space="preserve">W przypadku nieprawidłowych parametrów warstwy wiążącej i nie zatwierdzeniu przez Inżyniera odcinka próbnego, Wykonawca ma obowiązek usunąć odcinek próbny warstwy wiążącej (jeżeli był wykonywany w obrębie Kontraktu) na własny koszt. </w:t>
      </w:r>
    </w:p>
    <w:p>
      <w:pPr>
        <w:pStyle w:val="Normal"/>
        <w:spacing w:lineRule="auto" w:line="259" w:before="0" w:after="46"/>
        <w:ind w:left="262" w:right="0" w:hanging="0"/>
        <w:jc w:val="left"/>
        <w:rPr/>
      </w:pPr>
      <w:r>
        <w:rPr/>
      </w:r>
    </w:p>
    <w:p>
      <w:pPr>
        <w:pStyle w:val="Normal"/>
        <w:ind w:left="266" w:right="461" w:hanging="10"/>
        <w:rPr/>
      </w:pPr>
      <w:r>
        <w:rPr>
          <w:b/>
        </w:rPr>
        <w:t xml:space="preserve">5.10. Połączenie międzywarstwowe </w:t>
      </w:r>
      <w:r>
        <w:rPr/>
        <w:t xml:space="preserve">Uzyskanie wymaganej trwałości nawierzchni jest uzależnione od zapewnienia połączenia między warstwami i ich współpracy w przenoszeniu obciążenia nawierzchni ruchem. </w:t>
      </w:r>
    </w:p>
    <w:p>
      <w:pPr>
        <w:pStyle w:val="Normal"/>
        <w:ind w:left="256" w:right="461" w:firstLine="566"/>
        <w:rPr/>
      </w:pPr>
      <w:r>
        <w:rPr/>
        <w:t xml:space="preserve">Podłoże powinno być skropione lepiszczem. Ma to na celu zwiększenie połączenia między warstwami konstrukcyjnymi oraz zabezpieczenie przed wnikaniem i zaleganiem wody między warstwami. </w:t>
      </w:r>
    </w:p>
    <w:p>
      <w:pPr>
        <w:pStyle w:val="Normal"/>
        <w:ind w:left="256" w:right="461" w:firstLine="566"/>
        <w:rPr/>
      </w:pPr>
      <w:r>
        <w:rPr/>
        <w:t xml:space="preserve">Skropienie lepiszczem podłoża (np. podbudowa asfaltowa), przed ułożeniem warstwy wiążącej z betonu asfaltowego powinno być wykonane w ilości podanej w przeliczeniu na pozostałe lepiszcze w SST D-04.03.01. </w:t>
      </w:r>
    </w:p>
    <w:p>
      <w:pPr>
        <w:pStyle w:val="Normal"/>
        <w:ind w:left="256" w:right="461" w:firstLine="566"/>
        <w:rPr/>
      </w:pPr>
      <w:r>
        <w:rPr/>
        <w:t xml:space="preserve">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pPr>
        <w:pStyle w:val="Normal"/>
        <w:ind w:left="256" w:right="461" w:firstLine="566"/>
        <w:rPr/>
      </w:pPr>
      <w:r>
        <w:rPr/>
        <w:t xml:space="preserve">W wypadku stosowania emulsji asfaltowej podłoże powinno być skropione 0,5 h przed układaniem warstwy asfaltowej w celu odparowania wody. </w:t>
      </w:r>
    </w:p>
    <w:p>
      <w:pPr>
        <w:pStyle w:val="Normal"/>
        <w:ind w:left="256" w:right="461" w:firstLine="566"/>
        <w:rPr/>
      </w:pPr>
      <w:r>
        <w:rPr/>
        <w:t xml:space="preserve">Czas ten nie dotyczy skrapiania rampą zamontowaną na rozkładarce. Układarka powinna poruszać się ze stała prędkością i w sposób ciągły bez zbędnych zatrzymywań (np. w oczekiwaniu na kolejny samochód z gorącą mieszanką). </w:t>
      </w:r>
    </w:p>
    <w:p>
      <w:pPr>
        <w:pStyle w:val="Normal"/>
        <w:ind w:left="256" w:right="461" w:firstLine="708"/>
        <w:rPr/>
      </w:pPr>
      <w:r>
        <w:rPr/>
        <w:t xml:space="preserve">Połączenie międzywarstwowe (sczepność międzywarstwową) badać należy według metody Leutnera. Badanie ścinania połączenia międzywarstwowego należy przeprowadzić wg metody przedstawionej w Instrukcji laboratoryjnego badania szczepności międzywarstwowej warstw asfaltowych wg metody Leutnera i wymagań technicznych szczepności – GDDKiA z 2014 r.  </w:t>
      </w:r>
    </w:p>
    <w:p>
      <w:pPr>
        <w:pStyle w:val="Normal"/>
        <w:ind w:left="256" w:right="461" w:firstLine="708"/>
        <w:rPr/>
      </w:pPr>
      <w:r>
        <w:rPr/>
        <w:t xml:space="preserve">Do oceny sczepności międzywarstwowej (powiązania warstw) warstw asfaltowych służy badanie bezpośredniego ścinania, przeprowadzane w aparacie ścinającym na próbkach cylindrycznych o średnicy 150 mm w temperaturze +20°C. W badaniu wykorzystuje się próbki odwiercone z nawierzchni. </w:t>
      </w:r>
    </w:p>
    <w:p>
      <w:pPr>
        <w:pStyle w:val="Normal"/>
        <w:ind w:left="256" w:right="461" w:firstLine="708"/>
        <w:rPr/>
      </w:pPr>
      <w:r>
        <w:rPr/>
        <w:t xml:space="preserve">Rdzenie wiertnicze do badań sczepności międzywarstwowej należy pobrać w ramach badań kontrolnych, możliwie przed oddaniem nowej drogi do ruchu. Odwiert powinien być tak przeprowadzony, aby rdzeń uzyskany był bez uszkodzeń, z gładką pobocznicą bez rowków na powierzchni, prostopadle do górnej powierzchni drogi. W celu identyfikacji położenia i pozycji na rdzeniu wiertniczym należy przed przystąpieniem do odwiertu nanieść niezbędne oznakowania (np. strzałki w kierunku ruchu). </w:t>
      </w:r>
    </w:p>
    <w:p>
      <w:pPr>
        <w:pStyle w:val="Normal"/>
        <w:ind w:left="980" w:right="461" w:hanging="10"/>
        <w:rPr/>
      </w:pPr>
      <w:r>
        <w:rPr/>
        <w:t xml:space="preserve">Naprężenie ścinające powinno być zgodne z wymaganiami zawartymi w tablicy 18. </w:t>
      </w:r>
    </w:p>
    <w:p>
      <w:pPr>
        <w:pStyle w:val="Normal"/>
        <w:spacing w:lineRule="auto" w:line="259" w:before="0" w:after="31"/>
        <w:ind w:left="266" w:right="0" w:hanging="0"/>
        <w:jc w:val="left"/>
        <w:rPr/>
      </w:pPr>
      <w:r>
        <w:rPr/>
      </w:r>
    </w:p>
    <w:p>
      <w:pPr>
        <w:pStyle w:val="Normal"/>
        <w:ind w:left="266" w:right="461" w:hanging="10"/>
        <w:rPr/>
      </w:pPr>
      <w:r>
        <w:rPr/>
        <w:t>Tablica 18</w:t>
      </w:r>
      <w:r>
        <w:rPr>
          <w:b/>
        </w:rPr>
        <w:t>.</w:t>
      </w:r>
      <w:r>
        <w:rPr/>
        <w:t xml:space="preserve"> Kryteria sczepności międzywarstwowej wg metody Leutnera w temperaturze +20</w:t>
      </w:r>
      <w:r>
        <w:rPr>
          <w:vertAlign w:val="superscript"/>
        </w:rPr>
        <w:t>o</w:t>
      </w:r>
      <w:r>
        <w:rPr/>
        <w:t xml:space="preserve">C </w:t>
      </w:r>
    </w:p>
    <w:p>
      <w:pPr>
        <w:pStyle w:val="Normal"/>
        <w:spacing w:lineRule="auto" w:line="259" w:before="0" w:after="0"/>
        <w:ind w:left="266" w:right="0" w:hanging="0"/>
        <w:jc w:val="left"/>
        <w:rPr/>
      </w:pPr>
      <w:r>
        <w:rPr/>
        <w:tab/>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9" w:type="dxa"/>
          <w:left w:w="105" w:type="dxa"/>
          <w:bottom w:w="0" w:type="dxa"/>
          <w:right w:w="115" w:type="dxa"/>
        </w:tblCellMar>
        <w:tblLook w:val="04a0"/>
      </w:tblPr>
      <w:tblGrid>
        <w:gridCol w:w="4786"/>
        <w:gridCol w:w="4786"/>
      </w:tblGrid>
      <w:tr>
        <w:trPr>
          <w:trHeight w:val="241" w:hRule="atLeast"/>
        </w:trPr>
        <w:tc>
          <w:tcPr>
            <w:tcW w:w="47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1" w:right="0" w:hanging="0"/>
              <w:jc w:val="center"/>
              <w:rPr/>
            </w:pPr>
            <w:r>
              <w:rPr/>
              <w:t xml:space="preserve">Połączenie warstw </w:t>
            </w:r>
          </w:p>
        </w:tc>
        <w:tc>
          <w:tcPr>
            <w:tcW w:w="47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4" w:hanging="0"/>
              <w:jc w:val="center"/>
              <w:rPr/>
            </w:pPr>
            <w:r>
              <w:rPr/>
              <w:t xml:space="preserve">Kryterium sczepności międzywarstwowej </w:t>
            </w:r>
          </w:p>
        </w:tc>
      </w:tr>
      <w:tr>
        <w:trPr>
          <w:trHeight w:val="240" w:hRule="atLeast"/>
        </w:trPr>
        <w:tc>
          <w:tcPr>
            <w:tcW w:w="47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wiążąca - podbudowa </w:t>
            </w:r>
          </w:p>
        </w:tc>
        <w:tc>
          <w:tcPr>
            <w:tcW w:w="47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2" w:hanging="0"/>
              <w:jc w:val="center"/>
              <w:rPr/>
            </w:pPr>
            <w:r>
              <w:rPr/>
              <w:t xml:space="preserve">0,7 MPa </w:t>
            </w:r>
          </w:p>
        </w:tc>
      </w:tr>
    </w:tbl>
    <w:p>
      <w:pPr>
        <w:pStyle w:val="Normal"/>
        <w:spacing w:lineRule="auto" w:line="259" w:before="0" w:after="0"/>
        <w:ind w:left="970" w:right="0" w:hanging="0"/>
        <w:jc w:val="left"/>
        <w:rPr/>
      </w:pPr>
      <w:r>
        <w:rPr/>
      </w:r>
    </w:p>
    <w:p>
      <w:pPr>
        <w:pStyle w:val="Nagwek2"/>
        <w:ind w:left="257" w:right="470" w:hanging="10"/>
        <w:rPr/>
      </w:pPr>
      <w:r>
        <w:rPr/>
        <w:t xml:space="preserve">5.11. Połączenia technologiczne </w:t>
      </w:r>
    </w:p>
    <w:p>
      <w:pPr>
        <w:pStyle w:val="Normal"/>
        <w:spacing w:lineRule="auto" w:line="259" w:before="0" w:after="46"/>
        <w:ind w:left="828" w:right="0" w:hanging="0"/>
        <w:jc w:val="left"/>
        <w:rPr/>
      </w:pPr>
      <w:r>
        <w:rPr/>
      </w:r>
    </w:p>
    <w:p>
      <w:pPr>
        <w:pStyle w:val="Normal"/>
        <w:ind w:left="266" w:right="461" w:hanging="10"/>
        <w:rPr/>
      </w:pPr>
      <w:r>
        <w:rPr/>
        <w:t xml:space="preserve">W przypadku rozkładania metodą „gorące przy zimnym”, aby zapewnić odpowiednie uszczelnienie nawierzchni w miejscach połączeń technologicznych spoin (podłużnych i poprzecznych), należy obciąć lub sfrezować krawędź wcześniej wykonanego pasa warstwy technologicznej. Krawędź ta może być pionowa lub skośna (przez frezowanie).  </w:t>
      </w:r>
    </w:p>
    <w:p>
      <w:pPr>
        <w:pStyle w:val="Normal"/>
        <w:ind w:left="266" w:right="461" w:hanging="10"/>
        <w:rPr/>
      </w:pPr>
      <w:r>
        <w:rPr/>
        <w:t xml:space="preserve">Spoiny podłużnej nie można lokalizować w śladach kół. Złącza powinny być wykonane w linii prostej, równolegle lub prostopadle do osi drogi. Połączenia technologiczne powinny być jednorodne i szczelne.  Sposób wykonania połączeń technologicznych (spoin podłużnych i poprzecznych) warstwy wiążącej oraz materiał uszczelniający połączenia technologiczne powinien być uzgodniony z Inżynierem. W przypadku rozkładania metodą „gorące przy gorącym” przy użyciu rozkładarek pracujących obok siebie, wydajności wstępnego zagęszczenia muszą być do siebie dopasowane. Przyjęta technologia robót ma zapewnić prawidłowe i szczelne połączenie układanych pasów warstwy. Zazwyczaj warunek ten zapewnia się przez zminimalizowanie odległości między rozkładarkami tak, aby odległości między układanymi pasami nie była większa niż długość rozkładarki oraz druga w kolejności rozkładarka nakładała mieszankę na pierwszy pas. </w:t>
      </w:r>
    </w:p>
    <w:p>
      <w:pPr>
        <w:pStyle w:val="Normal"/>
        <w:ind w:left="266" w:right="461" w:hanging="10"/>
        <w:rPr/>
      </w:pPr>
      <w:r>
        <w:rPr/>
        <w:t xml:space="preserve">Zakończenie działki roboczej dotyczy wystąpienia przerw w układaniu pasa warstwy na czas, po którym temperatura MMA obniży się poza dopuszczalną granicę. W takim wypadku kontynuowanie układania warstwy należy poprzedzić usunięciem ułożonego wcześniej pasa o długości do 3m, na całej szerokości oraz pełnej grubości. Połączenie technologiczne należy wykonać zgodnie z opisem metody „gorące przy zimnym” </w:t>
      </w:r>
    </w:p>
    <w:p>
      <w:pPr>
        <w:pStyle w:val="Normal"/>
        <w:ind w:left="266" w:right="461" w:hanging="10"/>
        <w:rPr/>
      </w:pPr>
      <w:r>
        <w:rPr/>
        <w:t xml:space="preserve">Do uszczelniania krawędzi nawierzchni należy stosować materiały zgodne z punktem 2.5. W wypadku warstw nawierzchni z mieszanki wałowanej bez urządzeń ograniczających ją (np. krawężników) krawędziom należy nadać spadki o nachyleniu nie większym niż 2:1, a za pomocą odpowiednich środków technicznych (np. zamontowanych na walcu drogowym elementów wykańczających) wykonać krawędzie w linii prostej i docisnąć równomiernie na całej długości. </w:t>
      </w:r>
    </w:p>
    <w:p>
      <w:pPr>
        <w:pStyle w:val="Normal"/>
        <w:ind w:left="266" w:right="461" w:hanging="10"/>
        <w:rPr/>
      </w:pPr>
      <w:r>
        <w:rPr/>
        <w:t xml:space="preserve">Po wykonaniu nawierzchni asfaltowej o jednostronnym nachyleniu jezdni należy uszczelnić krawędź położoną wyżej, a w strefie zmiany przechyłki - obie krawędzie. W tym celu boczną powierzchnię krawędzi należy pokryć materiałami uszczelniającymi zgodnymi z punktem 2.3. Materiały uszczelniające powinny być naniesione odpowiednio szybko tak, aby krawędzie nie uległy zabrudzeniu. Niżej położona krawędź (z wyjątkiem strefy zmiany przechyłki) powinna pozostać nieuszczelniona. </w:t>
      </w:r>
    </w:p>
    <w:p>
      <w:pPr>
        <w:pStyle w:val="Normal"/>
        <w:ind w:left="266" w:right="461" w:hanging="10"/>
        <w:rPr/>
      </w:pPr>
      <w:r>
        <w:rPr/>
        <w:t xml:space="preserve">Krawędź kolejnych warstw może być uszczelniona jednocześnie, jeżeli kolejne warstwy układane są bezpośrednio jedna po drugiej oraz jeżeli zabezpieczy się krawędzie przed zanieczyszczeniem. Jeżeli krawędź położona wyżej jest uszczelniana warstwowo, to przylegającą powierzchnię odsadzki danej warstwy należy również uszczelnić na szerokości, co najmniej 10 cm.  </w:t>
      </w:r>
    </w:p>
    <w:p>
      <w:pPr>
        <w:pStyle w:val="Normal"/>
        <w:ind w:left="266" w:right="461" w:hanging="10"/>
        <w:rPr/>
      </w:pPr>
      <w:r>
        <w:rPr/>
        <w:t xml:space="preserve">W wypadku nakładania warstwy na nawierzchnię przeznaczoną do ruchu należy odpowiednio ukształtować krawędź nakładanej warstwy, łączącej ją z niższą, aby złagodzić wjazd z niższej warstwy na wyższą. </w:t>
      </w:r>
    </w:p>
    <w:p>
      <w:pPr>
        <w:pStyle w:val="Normal"/>
        <w:ind w:left="838" w:right="461" w:hanging="10"/>
        <w:rPr/>
      </w:pPr>
      <w:r>
        <w:rPr/>
        <w:t xml:space="preserve">W tym celu należy: </w:t>
      </w:r>
    </w:p>
    <w:p>
      <w:pPr>
        <w:pStyle w:val="Normal"/>
        <w:numPr>
          <w:ilvl w:val="0"/>
          <w:numId w:val="8"/>
        </w:numPr>
        <w:ind w:left="1394" w:right="461" w:hanging="566"/>
        <w:rPr/>
      </w:pPr>
      <w:r>
        <w:rPr/>
        <w:t xml:space="preserve">usunąć (sfrezować) klin niższej warstwy; na głębokość od 0 do grubości nakładanej warstwy oraz na długości równej, co najmniej 125 krotności grubości nakładanej warstwy, </w:t>
      </w:r>
    </w:p>
    <w:p>
      <w:pPr>
        <w:pStyle w:val="Normal"/>
        <w:numPr>
          <w:ilvl w:val="0"/>
          <w:numId w:val="8"/>
        </w:numPr>
        <w:ind w:left="1394" w:right="461" w:hanging="566"/>
        <w:rPr/>
      </w:pPr>
      <w:r>
        <w:rPr/>
        <w:t xml:space="preserve">przygotować podłoże i połączenia, </w:t>
      </w:r>
    </w:p>
    <w:p>
      <w:pPr>
        <w:pStyle w:val="Normal"/>
        <w:numPr>
          <w:ilvl w:val="0"/>
          <w:numId w:val="8"/>
        </w:numPr>
        <w:ind w:left="1394" w:right="461" w:hanging="566"/>
        <w:rPr/>
      </w:pPr>
      <w:r>
        <w:rPr/>
        <w:t xml:space="preserve">ułożyć nakładaną warstwę o stałej grubości </w:t>
      </w:r>
    </w:p>
    <w:p>
      <w:pPr>
        <w:pStyle w:val="Nagwek2"/>
        <w:ind w:left="257" w:right="470" w:hanging="10"/>
        <w:rPr/>
      </w:pPr>
      <w:r>
        <w:rPr/>
        <w:t xml:space="preserve">5.12. Wbudowanie i zagęszczenie warstw z betonu asfaltowego </w:t>
      </w:r>
    </w:p>
    <w:p>
      <w:pPr>
        <w:pStyle w:val="Normal"/>
        <w:spacing w:lineRule="auto" w:line="259" w:before="0" w:after="54"/>
        <w:ind w:left="262" w:right="0" w:hanging="0"/>
        <w:jc w:val="left"/>
        <w:rPr/>
      </w:pPr>
      <w:r>
        <w:rPr/>
      </w:r>
    </w:p>
    <w:p>
      <w:pPr>
        <w:pStyle w:val="Normal"/>
        <w:ind w:left="256" w:right="461" w:firstLine="566"/>
        <w:rPr/>
      </w:pPr>
      <w:r>
        <w:rPr/>
        <w:t xml:space="preserve">Układanie mieszanki AC lub AC WMS może odbywać się tylko przy użyciu mechanicznej układarki z włączoną wibracja i całą szerokością. Dopuszcza się układanie warstwy pasami o mniejszej szerokości niż szerokość jezdni lecz przy użyciu 2 układarek przy niewielkich odległościach pomiędzy nimi (metoda „gorąco na gorąco”). </w:t>
      </w:r>
    </w:p>
    <w:p>
      <w:pPr>
        <w:pStyle w:val="Normal"/>
        <w:ind w:left="256" w:right="461" w:firstLine="566"/>
        <w:rPr/>
      </w:pPr>
      <w:r>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pPr>
        <w:pStyle w:val="Normal"/>
        <w:ind w:left="256" w:right="461" w:firstLine="566"/>
        <w:rPr/>
      </w:pPr>
      <w:r>
        <w:rPr/>
        <w:t xml:space="preserve">Układarka powinna poruszać się ze stała prędkością i w sposób ciągły bez zbędnych zatrzymywań (np. w oczekiwaniu na kolejny samochód z gorącą mieszanką). </w:t>
      </w:r>
    </w:p>
    <w:p>
      <w:pPr>
        <w:pStyle w:val="Normal"/>
        <w:ind w:left="256" w:right="461" w:firstLine="566"/>
        <w:rPr/>
      </w:pPr>
      <w:r>
        <w:rPr/>
        <w:t xml:space="preserve">W układarce, przed kolejnym załadowaniem, powinna znajdować się taka ilość mieszanki, która będzie gwarantowała ciągłą pracę układarki. </w:t>
      </w:r>
    </w:p>
    <w:p>
      <w:pPr>
        <w:pStyle w:val="Normal"/>
        <w:ind w:left="256" w:right="461" w:firstLine="566"/>
        <w:rPr/>
      </w:pPr>
      <w:r>
        <w:rPr/>
        <w:t xml:space="preserve">Mieszanka AC lub AC WMS powinna być zagęszczana walcami stalowymi gładkimi z wibracją i walcami ogumionymi (dla mieszanek z zwykłym asfaltem). Zagęszczanie nie powinno powodować wyciskania się zaprawy na powierzchnię. Wyniki badań zagęszczenia oraz zawartości wolnych powinny być zgodne z wymaganiami podanymi w tablicy 20. </w:t>
      </w:r>
    </w:p>
    <w:p>
      <w:pPr>
        <w:pStyle w:val="Normal"/>
        <w:ind w:left="256" w:right="461" w:firstLine="566"/>
        <w:rPr/>
      </w:pPr>
      <w:r>
        <w:rPr/>
        <w:t xml:space="preserve">Złącza poprzeczne wynikające z końca dziennej działki należy wykonać przez równe obcięcie a następnie posmarowanie lepiszczem i zabezpieczenie listwą przed możliwym uszkodzeniem. </w:t>
      </w:r>
    </w:p>
    <w:p>
      <w:pPr>
        <w:pStyle w:val="Normal"/>
        <w:ind w:left="256" w:right="461" w:firstLine="566"/>
        <w:rPr/>
      </w:pPr>
      <w:r>
        <w:rPr/>
        <w:t xml:space="preserve">Złącza podłużne winny być wykonane przez ogrzanie promiennikiem podczerwieni a jeżeli Inżynier dopuści przez obcięcie krawędzi i posmarowanie lepiszczem. </w:t>
      </w:r>
    </w:p>
    <w:p>
      <w:pPr>
        <w:pStyle w:val="Normal"/>
        <w:ind w:left="256" w:right="461" w:firstLine="566"/>
        <w:rPr/>
      </w:pPr>
      <w:r>
        <w:rPr/>
        <w:t xml:space="preserve">Złącza w nawierzchni powinny być wykonane w linii prostej, równolegle lub prostopadle do osi drogi. Złącza w konstrukcji wielowarstwowej powinny być przesunięte względem siebie, co najmniej o 15cm. Złącza powinny być całkowicie związane, a przylegające warstwy powinny być w jednym poziomie. </w:t>
      </w:r>
    </w:p>
    <w:p>
      <w:pPr>
        <w:pStyle w:val="Normal"/>
        <w:ind w:left="256" w:right="461" w:firstLine="566"/>
        <w:rPr/>
      </w:pPr>
      <w:r>
        <w:rPr/>
        <w:t xml:space="preserve">Mieszankę mineralno-asfaltową można wbudowywać na podłożu przygotowanym zgodnie z zapisami w punktach 5.4, 5.7 i 5.8. </w:t>
      </w:r>
    </w:p>
    <w:p>
      <w:pPr>
        <w:pStyle w:val="Normal"/>
        <w:spacing w:lineRule="auto" w:line="259" w:before="0" w:after="0"/>
        <w:ind w:left="4926" w:right="0" w:hanging="0"/>
        <w:jc w:val="center"/>
        <w:rPr/>
      </w:pPr>
      <w:r>
        <w:rPr>
          <w:sz w:val="13"/>
        </w:rPr>
        <w:t>o</w:t>
      </w:r>
    </w:p>
    <w:p>
      <w:pPr>
        <w:pStyle w:val="Normal"/>
        <w:ind w:left="256" w:right="461" w:firstLine="566"/>
        <w:rPr/>
      </w:pPr>
      <w:r>
        <w:rPr/>
        <w:t xml:space="preserve">Temperatura podłoża pod rozkładaną warstwę nie może być niższa niż +5 C. Transport mieszanki mineralno-asfaltowej asfaltowej powinien być zgodny z zaleceniami podanymi w punkcie 4. Mieszankę mineralno-asfaltową asfaltową należy wbudowywać w odpowiednich warunkach atmosferycznych.  </w:t>
      </w:r>
    </w:p>
    <w:p>
      <w:pPr>
        <w:pStyle w:val="Normal"/>
        <w:ind w:left="256" w:right="461" w:firstLine="566"/>
        <w:rPr/>
      </w:pPr>
      <w:r>
        <w:rPr/>
        <w:t>Temperatura otoczenia w ciągu doby nie powinna być niższa od +10</w:t>
      </w:r>
      <w:r>
        <w:rPr>
          <w:vertAlign w:val="superscript"/>
        </w:rPr>
        <w:t xml:space="preserve"> o</w:t>
      </w:r>
      <w:r>
        <w:rPr/>
        <w:t xml:space="preserve">C. Temperatura otoczenia może być niższa w wypadku stosowania ogrzewania podłoża. Nie dopuszcza się układania mieszanki mineralno-asfaltowej asfaltowej podczas silnego wiatru (V &gt; 16 m/s), na mokrym podłożu i podczas opadów atmosferycznych. w wypadku stosowania mieszanek mineralno-asfaltowych z dodatkiem obniżającym temperaturę mieszania i wbudowania należy indywidualnie określić wymagane warunki otoczenia. Właściwości wykonanej warstwy powinny spełniać warunki podane w tablicy 19. </w:t>
      </w:r>
    </w:p>
    <w:p>
      <w:pPr>
        <w:pStyle w:val="Normal"/>
        <w:spacing w:lineRule="auto" w:line="259" w:before="0" w:after="20"/>
        <w:ind w:left="828" w:right="0" w:hanging="0"/>
        <w:jc w:val="left"/>
        <w:rPr/>
      </w:pPr>
      <w:r>
        <w:rPr/>
      </w:r>
    </w:p>
    <w:p>
      <w:pPr>
        <w:pStyle w:val="Normal"/>
        <w:ind w:left="266" w:right="461" w:hanging="10"/>
        <w:rPr/>
      </w:pPr>
      <w:r>
        <w:rPr/>
        <w:t xml:space="preserve">Tablica 19. Właściwości warstwy AC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6" w:type="dxa"/>
          <w:bottom w:w="0" w:type="dxa"/>
          <w:right w:w="53" w:type="dxa"/>
        </w:tblCellMar>
        <w:tblLook w:val="04a0"/>
      </w:tblPr>
      <w:tblGrid>
        <w:gridCol w:w="2776"/>
        <w:gridCol w:w="2364"/>
        <w:gridCol w:w="1959"/>
        <w:gridCol w:w="2473"/>
      </w:tblGrid>
      <w:tr>
        <w:trPr>
          <w:trHeight w:val="804" w:hRule="atLeast"/>
        </w:trPr>
        <w:tc>
          <w:tcPr>
            <w:tcW w:w="27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9"/>
              <w:ind w:left="2" w:right="0" w:hanging="0"/>
              <w:jc w:val="left"/>
              <w:rPr/>
            </w:pPr>
            <w:r>
              <w:rPr/>
            </w:r>
          </w:p>
          <w:p>
            <w:pPr>
              <w:pStyle w:val="Normal"/>
              <w:spacing w:lineRule="auto" w:line="259" w:before="0" w:after="0"/>
              <w:ind w:left="2" w:right="0" w:hanging="0"/>
              <w:jc w:val="left"/>
              <w:rPr/>
            </w:pPr>
            <w:r>
              <w:rPr/>
              <w:t xml:space="preserve">Typ i wymiar mieszanki </w:t>
            </w:r>
          </w:p>
        </w:tc>
        <w:tc>
          <w:tcPr>
            <w:tcW w:w="2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57" w:hanging="0"/>
              <w:rPr/>
            </w:pPr>
            <w:r>
              <w:rPr/>
              <w:t xml:space="preserve">Projektowana grubość warstwy technologicznej [cm] </w:t>
            </w:r>
          </w:p>
        </w:tc>
        <w:tc>
          <w:tcPr>
            <w:tcW w:w="19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19"/>
              <w:ind w:left="2" w:right="0" w:hanging="0"/>
              <w:jc w:val="left"/>
              <w:rPr/>
            </w:pPr>
            <w:r>
              <w:rPr/>
              <w:t>Wskaźnik zagęsz-</w:t>
            </w:r>
          </w:p>
          <w:p>
            <w:pPr>
              <w:pStyle w:val="Normal"/>
              <w:spacing w:lineRule="auto" w:line="259" w:before="0" w:after="0"/>
              <w:ind w:left="2" w:right="822" w:hanging="0"/>
              <w:jc w:val="left"/>
              <w:rPr/>
            </w:pPr>
            <w:r>
              <w:rPr/>
              <w:t xml:space="preserve">czenia  [%] </w:t>
            </w:r>
          </w:p>
        </w:tc>
        <w:tc>
          <w:tcPr>
            <w:tcW w:w="24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76" w:before="0" w:after="0"/>
              <w:ind w:left="0" w:right="0" w:hanging="0"/>
              <w:rPr/>
            </w:pPr>
            <w:r>
              <w:rPr/>
              <w:t xml:space="preserve">Zawartość wolnych przestrzeni w warstwie </w:t>
            </w:r>
          </w:p>
          <w:p>
            <w:pPr>
              <w:pStyle w:val="Normal"/>
              <w:spacing w:lineRule="auto" w:line="259" w:before="0" w:after="0"/>
              <w:ind w:left="0" w:right="0" w:hanging="0"/>
              <w:jc w:val="left"/>
              <w:rPr/>
            </w:pPr>
            <w:r>
              <w:rPr/>
              <w:t xml:space="preserve">[%(v/v)] </w:t>
            </w:r>
          </w:p>
        </w:tc>
      </w:tr>
      <w:tr>
        <w:trPr>
          <w:trHeight w:val="274" w:hRule="atLeast"/>
        </w:trPr>
        <w:tc>
          <w:tcPr>
            <w:tcW w:w="27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AC11W, KR1 </w:t>
            </w:r>
          </w:p>
        </w:tc>
        <w:tc>
          <w:tcPr>
            <w:tcW w:w="2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4,0  </w:t>
            </w:r>
          </w:p>
        </w:tc>
        <w:tc>
          <w:tcPr>
            <w:tcW w:w="19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 </w:t>
            </w:r>
            <w:r>
              <w:rPr/>
              <w:t xml:space="preserve">98 </w:t>
            </w:r>
          </w:p>
        </w:tc>
        <w:tc>
          <w:tcPr>
            <w:tcW w:w="24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3,0 ÷ 7,0 </w:t>
            </w:r>
          </w:p>
        </w:tc>
      </w:tr>
      <w:tr>
        <w:trPr>
          <w:trHeight w:val="276" w:hRule="atLeast"/>
        </w:trPr>
        <w:tc>
          <w:tcPr>
            <w:tcW w:w="27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798" w:right="0" w:hanging="0"/>
              <w:jc w:val="center"/>
              <w:rPr/>
            </w:pPr>
            <w:r>
              <w:rPr/>
            </w:r>
          </w:p>
          <w:p>
            <w:pPr>
              <w:pStyle w:val="Normal"/>
              <w:spacing w:lineRule="auto" w:line="259" w:before="0" w:after="0"/>
              <w:ind w:left="2" w:right="0" w:hanging="0"/>
              <w:jc w:val="left"/>
              <w:rPr/>
            </w:pPr>
            <w:r>
              <w:rPr/>
              <w:t>AC16W, KR3÷KR4</w:t>
            </w:r>
          </w:p>
        </w:tc>
        <w:tc>
          <w:tcPr>
            <w:tcW w:w="2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6,0 ÷ 8,0 </w:t>
            </w:r>
          </w:p>
        </w:tc>
        <w:tc>
          <w:tcPr>
            <w:tcW w:w="19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 </w:t>
            </w:r>
            <w:r>
              <w:rPr/>
              <w:t xml:space="preserve">98 </w:t>
            </w:r>
          </w:p>
        </w:tc>
        <w:tc>
          <w:tcPr>
            <w:tcW w:w="24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4,0 ÷ 8,0 </w:t>
            </w:r>
          </w:p>
        </w:tc>
      </w:tr>
      <w:tr>
        <w:trPr>
          <w:trHeight w:val="274" w:hRule="atLeast"/>
        </w:trPr>
        <w:tc>
          <w:tcPr>
            <w:tcW w:w="27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AC16 WMS, KR5÷KR6 </w:t>
            </w:r>
          </w:p>
        </w:tc>
        <w:tc>
          <w:tcPr>
            <w:tcW w:w="2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8,0 </w:t>
            </w:r>
          </w:p>
        </w:tc>
        <w:tc>
          <w:tcPr>
            <w:tcW w:w="19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2" w:right="0" w:hanging="0"/>
              <w:jc w:val="left"/>
              <w:rPr/>
            </w:pPr>
            <w:r>
              <w:rPr/>
              <w:t xml:space="preserve">≥ </w:t>
            </w:r>
            <w:r>
              <w:rPr/>
              <w:t xml:space="preserve">98 </w:t>
            </w:r>
          </w:p>
        </w:tc>
        <w:tc>
          <w:tcPr>
            <w:tcW w:w="24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2,0 ÷ 5,0 </w:t>
            </w:r>
          </w:p>
        </w:tc>
      </w:tr>
    </w:tbl>
    <w:p>
      <w:pPr>
        <w:pStyle w:val="Normal"/>
        <w:spacing w:lineRule="auto" w:line="259" w:before="0" w:after="6"/>
        <w:ind w:left="828" w:right="0" w:hanging="0"/>
        <w:jc w:val="left"/>
        <w:rPr/>
      </w:pPr>
      <w:r>
        <w:rPr/>
      </w:r>
    </w:p>
    <w:p>
      <w:pPr>
        <w:pStyle w:val="Normal"/>
        <w:ind w:left="256" w:right="461" w:firstLine="566"/>
        <w:rPr/>
      </w:pPr>
      <w:r>
        <w:rPr/>
        <w:t xml:space="preserve">W trakcie prowadzonych prac grubość wykonywanej warstwy powinna być sprawdzana co 25 m, w co najmniej trzech miejscach (w osi i przy brzegach warstwy). </w:t>
      </w:r>
    </w:p>
    <w:p>
      <w:pPr>
        <w:pStyle w:val="Normal"/>
        <w:spacing w:lineRule="auto" w:line="259" w:before="0" w:after="14"/>
        <w:ind w:left="262" w:right="0" w:hanging="0"/>
        <w:jc w:val="left"/>
        <w:rPr/>
      </w:pPr>
      <w:r>
        <w:rPr/>
      </w:r>
    </w:p>
    <w:p>
      <w:pPr>
        <w:pStyle w:val="Normal"/>
        <w:ind w:left="266" w:right="461" w:hanging="10"/>
        <w:rPr/>
      </w:pPr>
      <w:r>
        <w:rPr>
          <w:b/>
        </w:rPr>
        <w:t xml:space="preserve">5.13. Utrzymanie wykonanych warstw </w:t>
      </w:r>
      <w:r>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pPr>
        <w:pStyle w:val="Normal"/>
        <w:spacing w:before="0" w:after="218"/>
        <w:ind w:left="256" w:right="461" w:firstLine="566"/>
        <w:rPr/>
      </w:pPr>
      <w:r>
        <w:rPr/>
        <w:t xml:space="preserve">W przypadku jakiegokolwiek zanieczyszczenia warstwy bitumicznej, Wykonawca powinien podjąć starania w celu jej oczyszczenia, a jeżeli okaże się to niemożliwe, Inżynier podejmie decyzję o rozbiórce warstwy. </w:t>
      </w:r>
    </w:p>
    <w:p>
      <w:pPr>
        <w:pStyle w:val="Normal"/>
        <w:spacing w:lineRule="auto" w:line="259" w:before="0" w:after="106"/>
        <w:ind w:left="262" w:right="0" w:hanging="0"/>
        <w:jc w:val="left"/>
        <w:rPr/>
      </w:pPr>
      <w:r>
        <w:rPr/>
      </w:r>
    </w:p>
    <w:p>
      <w:pPr>
        <w:pStyle w:val="Nagwek1"/>
        <w:tabs>
          <w:tab w:val="center" w:pos="344" w:leader="none"/>
          <w:tab w:val="center" w:pos="2110" w:leader="none"/>
        </w:tabs>
        <w:ind w:left="0" w:right="470" w:hanging="0"/>
        <w:rPr/>
      </w:pPr>
      <w:r>
        <w:rPr>
          <w:rFonts w:eastAsia="Calibri" w:cs="Calibri" w:ascii="Calibri" w:hAnsi="Calibri"/>
          <w:b w:val="false"/>
          <w:sz w:val="22"/>
        </w:rPr>
        <w:tab/>
      </w:r>
      <w:r>
        <w:rPr>
          <w:b w:val="false"/>
        </w:rPr>
        <w:t xml:space="preserve">6. </w:t>
        <w:tab/>
      </w:r>
      <w:r>
        <w:rPr/>
        <w:t>KONTROLA JAKOŚCI ROBÓT</w:t>
      </w:r>
    </w:p>
    <w:p>
      <w:pPr>
        <w:pStyle w:val="Normal"/>
        <w:spacing w:lineRule="auto" w:line="259" w:before="0" w:after="48"/>
        <w:ind w:left="262" w:right="0" w:hanging="0"/>
        <w:jc w:val="left"/>
        <w:rPr/>
      </w:pPr>
      <w:r>
        <w:rPr/>
      </w:r>
    </w:p>
    <w:p>
      <w:pPr>
        <w:pStyle w:val="Nagwek2"/>
        <w:tabs>
          <w:tab w:val="center" w:pos="427" w:leader="none"/>
          <w:tab w:val="center" w:pos="2576" w:leader="none"/>
        </w:tabs>
        <w:spacing w:before="0" w:after="55"/>
        <w:ind w:left="0" w:right="470" w:hanging="0"/>
        <w:rPr/>
      </w:pPr>
      <w:r>
        <w:rPr>
          <w:rFonts w:eastAsia="Calibri" w:cs="Calibri" w:ascii="Calibri" w:hAnsi="Calibri"/>
          <w:b w:val="false"/>
          <w:sz w:val="22"/>
        </w:rPr>
        <w:tab/>
      </w:r>
      <w:r>
        <w:rPr/>
        <w:t xml:space="preserve">6.4. </w:t>
        <w:tab/>
        <w:t xml:space="preserve">Ogólne zasady kontroli jakości robót </w:t>
      </w:r>
    </w:p>
    <w:p>
      <w:pPr>
        <w:pStyle w:val="Normal"/>
        <w:ind w:left="838" w:right="461" w:hanging="10"/>
        <w:rPr/>
      </w:pPr>
      <w:r>
        <w:rPr/>
        <w:t xml:space="preserve">Ogólne zasady kontroli jakości robót podano w SST D-00.00.00 „Wymagania ogólne” pkt 6. </w:t>
      </w:r>
    </w:p>
    <w:p>
      <w:pPr>
        <w:pStyle w:val="Normal"/>
        <w:ind w:left="256" w:right="461" w:firstLine="566"/>
        <w:rPr/>
      </w:pPr>
      <w:r>
        <w:rPr/>
        <w:t xml:space="preserve">Badania mieszanki mineralno-asfaltowej AC należy wykonać wg wymagań WT-2 2008 oraz zgodnie z normami podanymi w p. 8.2.3. WT-2 2014 (tablice 18, 19). </w:t>
      </w:r>
    </w:p>
    <w:p>
      <w:pPr>
        <w:pStyle w:val="Normal"/>
        <w:ind w:left="256" w:right="461" w:firstLine="566"/>
        <w:rPr/>
      </w:pPr>
      <w:r>
        <w:rPr/>
        <w:t xml:space="preserve">Badania kontrolne składu mieszanki mineralno-asfaltowej polegają na wykonaniu ekstrakcji wg PNEN 12697-1 i oznaczeniu składu ziarnowego wg PN EN 12697-2. </w:t>
      </w:r>
    </w:p>
    <w:p>
      <w:pPr>
        <w:pStyle w:val="Normal"/>
        <w:spacing w:lineRule="auto" w:line="259" w:before="0" w:after="7"/>
        <w:ind w:left="828" w:right="0" w:hanging="0"/>
        <w:jc w:val="left"/>
        <w:rPr/>
      </w:pPr>
      <w:r>
        <w:rPr/>
      </w:r>
    </w:p>
    <w:p>
      <w:pPr>
        <w:pStyle w:val="Nagwek2"/>
        <w:tabs>
          <w:tab w:val="center" w:pos="424" w:leader="none"/>
          <w:tab w:val="center" w:pos="2657" w:leader="none"/>
        </w:tabs>
        <w:spacing w:before="0" w:after="54"/>
        <w:ind w:left="0" w:right="470" w:hanging="0"/>
        <w:rPr/>
      </w:pPr>
      <w:r>
        <w:rPr>
          <w:rFonts w:eastAsia="Calibri" w:cs="Calibri" w:ascii="Calibri" w:hAnsi="Calibri"/>
          <w:b w:val="false"/>
          <w:sz w:val="22"/>
        </w:rPr>
        <w:tab/>
      </w:r>
      <w:r>
        <w:rPr/>
        <w:t xml:space="preserve">6.5. </w:t>
        <w:tab/>
        <w:t xml:space="preserve">Badanie przed przystąpieniem do robót </w:t>
      </w:r>
    </w:p>
    <w:p>
      <w:pPr>
        <w:pStyle w:val="Normal"/>
        <w:ind w:left="838" w:right="461" w:hanging="10"/>
        <w:rPr/>
      </w:pPr>
      <w:r>
        <w:rPr/>
        <w:t xml:space="preserve">Przed przystąpieniem do robót Wykonawca powinien wykonać: </w:t>
      </w:r>
    </w:p>
    <w:p>
      <w:pPr>
        <w:pStyle w:val="Normal"/>
        <w:numPr>
          <w:ilvl w:val="0"/>
          <w:numId w:val="9"/>
        </w:numPr>
        <w:ind w:left="1255" w:right="461" w:hanging="427"/>
        <w:rPr/>
      </w:pPr>
      <w:r>
        <w:rPr/>
        <w:t xml:space="preserve">szczegółową analizę technicznych wymagań Zamawiającego, </w:t>
      </w:r>
    </w:p>
    <w:p>
      <w:pPr>
        <w:pStyle w:val="Normal"/>
        <w:numPr>
          <w:ilvl w:val="0"/>
          <w:numId w:val="9"/>
        </w:numPr>
        <w:spacing w:before="0" w:after="27"/>
        <w:ind w:left="1255" w:right="461" w:hanging="427"/>
        <w:rPr/>
      </w:pPr>
      <w:r>
        <w:rPr/>
        <w:t xml:space="preserve">analizę potencjalnych źródeł zaopatrzenia w materiały wyjściowe do produkcji MMA charakteryzujące się cechami wymaganymi przez Zamawiającego, </w:t>
      </w:r>
    </w:p>
    <w:p>
      <w:pPr>
        <w:pStyle w:val="Normal"/>
        <w:numPr>
          <w:ilvl w:val="0"/>
          <w:numId w:val="9"/>
        </w:numPr>
        <w:spacing w:before="0" w:after="27"/>
        <w:ind w:left="1255" w:right="461" w:hanging="427"/>
        <w:rPr/>
      </w:pPr>
      <w:r>
        <w:rPr/>
        <w:t xml:space="preserve">analizę dokumentów towarzyszących znakowaniu CE dla asfaltu, kruszywa i dodatków pod względem kompletności deklaracji Producenta oraz właściwości użytkowych w stosunku do wymagań   Zamawiającego podanych w SST, </w:t>
      </w:r>
    </w:p>
    <w:p>
      <w:pPr>
        <w:pStyle w:val="Normal"/>
        <w:numPr>
          <w:ilvl w:val="0"/>
          <w:numId w:val="9"/>
        </w:numPr>
        <w:ind w:left="1255" w:right="461" w:hanging="427"/>
        <w:rPr/>
      </w:pPr>
      <w:r>
        <w:rPr/>
        <w:t xml:space="preserve">przeprowadzenie badań asfaltu i kruszyw w zakresie niezbędnym do opracowania wejściowego składu MMA z optymalizacją cech fizycznych i mechanicznych w zakresie dopuszczalnej tolerancji zawartości asfaltu , </w:t>
      </w:r>
    </w:p>
    <w:p>
      <w:pPr>
        <w:pStyle w:val="Normal"/>
        <w:numPr>
          <w:ilvl w:val="0"/>
          <w:numId w:val="9"/>
        </w:numPr>
        <w:ind w:left="1255" w:right="461" w:hanging="427"/>
        <w:rPr/>
      </w:pPr>
      <w:r>
        <w:rPr/>
        <w:t xml:space="preserve">przeprowadzenie laboratoryjnego badania typu dla każdej MMA z określeniem zawartości asfaltu rozpuszczalnego i nierozpuszczalnego, </w:t>
      </w:r>
    </w:p>
    <w:p>
      <w:pPr>
        <w:pStyle w:val="Normal"/>
        <w:numPr>
          <w:ilvl w:val="0"/>
          <w:numId w:val="9"/>
        </w:numPr>
        <w:ind w:left="1255" w:right="461" w:hanging="427"/>
        <w:rPr/>
      </w:pPr>
      <w:r>
        <w:rPr/>
        <w:t xml:space="preserve">przedstawienie Inżynierowi do akceptacji pozytywnych sprawozdań z badania typu wraz z wynikami własnych badań asfaltu i kruszyw oraz dokumentów towarzyszących znakowaniu CE dla asfaltu, kruszywa i dodatków wchodzących w skład MMA. </w:t>
      </w:r>
    </w:p>
    <w:p>
      <w:pPr>
        <w:pStyle w:val="Normal"/>
        <w:spacing w:lineRule="auto" w:line="259" w:before="0" w:after="2"/>
        <w:ind w:left="1255" w:right="0" w:hanging="0"/>
        <w:jc w:val="left"/>
        <w:rPr/>
      </w:pPr>
      <w:r>
        <w:rPr/>
      </w:r>
    </w:p>
    <w:p>
      <w:pPr>
        <w:pStyle w:val="Nagwek2"/>
        <w:ind w:left="257" w:right="470" w:hanging="10"/>
        <w:rPr/>
      </w:pPr>
      <w:r>
        <w:rPr/>
        <w:t xml:space="preserve">6.6. Badania w czasie robót </w:t>
      </w:r>
    </w:p>
    <w:p>
      <w:pPr>
        <w:pStyle w:val="Normal"/>
        <w:spacing w:lineRule="auto" w:line="259" w:before="0" w:after="49"/>
        <w:ind w:left="828" w:right="0" w:hanging="0"/>
        <w:jc w:val="left"/>
        <w:rPr/>
      </w:pPr>
      <w:r>
        <w:rPr/>
      </w:r>
    </w:p>
    <w:p>
      <w:pPr>
        <w:pStyle w:val="Normal"/>
        <w:ind w:left="256" w:right="461" w:firstLine="566"/>
        <w:rPr/>
      </w:pPr>
      <w:r>
        <w:rPr/>
        <w:t xml:space="preserve">Badania w czasie robót wykonywane są przez Wykonawcę lub jego zleceniobiorców celem sprawdzenia czy, jakość materiałów budowlanych (mieszanek mineralno-asfaltowych i ich składników) oraz gotowej usługi (wbudowane warstwy asfaltowe, połączenie, itp.) spełniają wymagania określone w kontrakcie. </w:t>
      </w:r>
    </w:p>
    <w:p>
      <w:pPr>
        <w:pStyle w:val="Normal"/>
        <w:ind w:left="256" w:right="461" w:firstLine="566"/>
        <w:rPr/>
      </w:pPr>
      <w:r>
        <w:rPr/>
        <w:t xml:space="preserve">Wykonawca będzie wykonywać te badania podczas realizacji kontraktu z niezbędną starannością i w wymaganym zakresie. Wyniki należy zapisywać w protokołach. Wyniki badań Wykonawcy należy przekazywać zleceniodawcy na jego żądanie. W razie zastrzeżeń Inżynier może przeprowadzić badania kontrolne. Badania kontrolne są badaniami Inżyniera, których celem jest sprawdzenie czy jakość materiałów budowlanych (mieszanek mineralno-asfaltowych i ich składników) oraz gotowej usługi (wbudowane warstwy asfaltowe, połączenie, itp.) spełniają wymagania określone w kontrakcie. Pobieraniem próbek i wykonaniem badań na miejscu budowy zajmuje się Inżynier w obecności Wykonawcy.  </w:t>
      </w:r>
    </w:p>
    <w:p>
      <w:pPr>
        <w:pStyle w:val="Normal"/>
        <w:spacing w:lineRule="auto" w:line="259" w:before="0" w:after="12"/>
        <w:ind w:left="262" w:right="0" w:hanging="0"/>
        <w:jc w:val="left"/>
        <w:rPr/>
      </w:pPr>
      <w:r>
        <w:rPr/>
      </w:r>
    </w:p>
    <w:p>
      <w:pPr>
        <w:pStyle w:val="Normal"/>
        <w:ind w:left="256" w:right="461" w:firstLine="566"/>
        <w:rPr/>
      </w:pPr>
      <w:r>
        <w:rPr/>
        <w:t xml:space="preserve">Rodzaj badań kontrolnych Wykonawcy oraz częstotliwość ich przeprowadzania podano w tablicy 20. </w:t>
      </w:r>
    </w:p>
    <w:p>
      <w:pPr>
        <w:pStyle w:val="Normal"/>
        <w:spacing w:lineRule="auto" w:line="259" w:before="0" w:after="10"/>
        <w:ind w:left="262" w:right="0" w:hanging="0"/>
        <w:jc w:val="left"/>
        <w:rPr/>
      </w:pPr>
      <w:r>
        <w:rPr/>
      </w:r>
    </w:p>
    <w:p>
      <w:pPr>
        <w:pStyle w:val="Normal"/>
        <w:ind w:left="266" w:right="461" w:hanging="10"/>
        <w:rPr/>
      </w:pPr>
      <w:r>
        <w:rPr/>
        <w:t>Tablica 20</w:t>
      </w:r>
      <w:r>
        <w:rPr>
          <w:b/>
        </w:rPr>
        <w:t>.</w:t>
      </w:r>
      <w:r>
        <w:rPr/>
        <w:t xml:space="preserve"> Rodzaj badań kontrolnych Wykonawcy oraz częstotliwość </w:t>
      </w:r>
    </w:p>
    <w:p>
      <w:pPr>
        <w:pStyle w:val="Normal"/>
        <w:spacing w:lineRule="auto" w:line="259" w:before="0" w:after="0"/>
        <w:ind w:left="262" w:right="0" w:hanging="0"/>
        <w:jc w:val="left"/>
        <w:rPr/>
      </w:pPr>
      <w:r>
        <w:rPr/>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 w:type="dxa"/>
          <w:left w:w="124" w:type="dxa"/>
          <w:bottom w:w="0" w:type="dxa"/>
          <w:right w:w="69" w:type="dxa"/>
        </w:tblCellMar>
        <w:tblLook w:val="04a0"/>
      </w:tblPr>
      <w:tblGrid>
        <w:gridCol w:w="578"/>
        <w:gridCol w:w="5162"/>
        <w:gridCol w:w="3833"/>
      </w:tblGrid>
      <w:tr>
        <w:trPr>
          <w:trHeight w:val="517"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19" w:right="0" w:hanging="0"/>
              <w:jc w:val="left"/>
              <w:rPr/>
            </w:pPr>
            <w:r>
              <w:rPr>
                <w:b/>
              </w:rPr>
              <w:t xml:space="preserve">Lp.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4" w:hanging="0"/>
              <w:jc w:val="center"/>
              <w:rPr/>
            </w:pPr>
            <w:r>
              <w:rPr>
                <w:b/>
              </w:rPr>
              <w:t xml:space="preserve">Wyszczególnienie badań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6" w:hanging="0"/>
              <w:jc w:val="center"/>
              <w:rPr/>
            </w:pPr>
            <w:r>
              <w:rPr>
                <w:b/>
              </w:rPr>
              <w:t xml:space="preserve">Częstotliwość badań </w:t>
            </w:r>
          </w:p>
        </w:tc>
      </w:tr>
      <w:tr>
        <w:trPr>
          <w:trHeight w:val="530"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38" w:hanging="0"/>
              <w:jc w:val="center"/>
              <w:rPr/>
            </w:pPr>
            <w:r>
              <w:rPr/>
              <w:t xml:space="preserve">1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7" w:hanging="0"/>
              <w:jc w:val="center"/>
              <w:rPr/>
            </w:pPr>
            <w:r>
              <w:rPr/>
              <w:t xml:space="preserve">Uziarnienie kruszywa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0" w:hanging="0"/>
              <w:jc w:val="center"/>
              <w:rPr/>
            </w:pPr>
            <w:r>
              <w:rPr/>
              <w:t xml:space="preserve">1 raz na 2000 ton dostarczonego surowca i przy każdej zmianie </w:t>
            </w:r>
          </w:p>
        </w:tc>
      </w:tr>
      <w:tr>
        <w:trPr>
          <w:trHeight w:val="415"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2" w:hanging="0"/>
              <w:jc w:val="center"/>
              <w:rPr/>
            </w:pPr>
            <w:r>
              <w:rPr/>
              <w:t xml:space="preserve">2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5" w:hanging="0"/>
              <w:jc w:val="center"/>
              <w:rPr/>
            </w:pPr>
            <w:r>
              <w:rPr/>
              <w:t xml:space="preserve">Uziarnienie wypełniacza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98" w:hanging="0"/>
              <w:jc w:val="center"/>
              <w:rPr/>
            </w:pPr>
            <w:r>
              <w:rPr/>
              <w:t xml:space="preserve">1 x na każde 300 ton dostawy </w:t>
            </w:r>
          </w:p>
        </w:tc>
      </w:tr>
      <w:tr>
        <w:trPr>
          <w:trHeight w:val="641"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57" w:hanging="0"/>
              <w:jc w:val="center"/>
              <w:rPr/>
            </w:pPr>
            <w:r>
              <w:rPr/>
              <w:t xml:space="preserve">3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0" w:hanging="0"/>
              <w:jc w:val="center"/>
              <w:rPr/>
            </w:pPr>
            <w:r>
              <w:rPr/>
              <w:t xml:space="preserve">Właściwości asfaltu - Penetracja w 25°C oraz temperatura mięknienia wg. PiK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47" w:hanging="0"/>
              <w:jc w:val="center"/>
              <w:rPr/>
            </w:pPr>
            <w:r>
              <w:rPr/>
              <w:t xml:space="preserve">1 raz na każde 300 ton dostawy </w:t>
            </w:r>
          </w:p>
        </w:tc>
      </w:tr>
      <w:tr>
        <w:trPr>
          <w:trHeight w:val="643"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57" w:hanging="0"/>
              <w:jc w:val="center"/>
              <w:rPr/>
            </w:pPr>
            <w:r>
              <w:rPr/>
              <w:t xml:space="preserve">4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88" w:hanging="0"/>
              <w:jc w:val="center"/>
              <w:rPr/>
            </w:pPr>
            <w:r>
              <w:rPr/>
              <w:t xml:space="preserve">Badania właściwości kruszyw zgodnie z tabl. 4, 5, 6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0" w:hanging="0"/>
              <w:jc w:val="center"/>
              <w:rPr/>
            </w:pPr>
            <w:r>
              <w:rPr/>
              <w:t xml:space="preserve">Zatwierdzenie źródła przed pierwszym użyciem i co najmniej 1 raz w roku. </w:t>
            </w:r>
          </w:p>
        </w:tc>
      </w:tr>
      <w:tr>
        <w:trPr>
          <w:trHeight w:val="430"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2" w:hanging="0"/>
              <w:jc w:val="center"/>
              <w:rPr/>
            </w:pPr>
            <w:r>
              <w:rPr/>
              <w:t xml:space="preserve">5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1" w:hanging="0"/>
              <w:jc w:val="center"/>
              <w:rPr/>
            </w:pPr>
            <w:r>
              <w:rPr/>
              <w:t xml:space="preserve">Temperatura składników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1" w:hanging="0"/>
              <w:jc w:val="center"/>
              <w:rPr/>
            </w:pPr>
            <w:r>
              <w:rPr/>
              <w:t xml:space="preserve">Dozór ciągły </w:t>
            </w:r>
          </w:p>
        </w:tc>
      </w:tr>
      <w:tr>
        <w:trPr>
          <w:trHeight w:val="521"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57" w:hanging="0"/>
              <w:jc w:val="center"/>
              <w:rPr/>
            </w:pPr>
            <w:r>
              <w:rPr/>
              <w:t xml:space="preserve">6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4" w:hanging="0"/>
              <w:jc w:val="center"/>
              <w:rPr/>
            </w:pPr>
            <w:r>
              <w:rPr/>
              <w:t xml:space="preserve">Temperatura mieszanki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221" w:right="0" w:firstLine="19"/>
              <w:rPr/>
            </w:pPr>
            <w:r>
              <w:rPr/>
              <w:t xml:space="preserve">Na wytwórni w sposób ciągły, przy wbudowywaniu 1 raz na 100 ton </w:t>
            </w:r>
          </w:p>
        </w:tc>
      </w:tr>
      <w:tr>
        <w:trPr>
          <w:trHeight w:val="446"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57" w:hanging="0"/>
              <w:jc w:val="center"/>
              <w:rPr/>
            </w:pPr>
            <w:r>
              <w:rPr/>
              <w:t xml:space="preserve">7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6" w:hanging="0"/>
              <w:jc w:val="center"/>
              <w:rPr/>
            </w:pPr>
            <w:r>
              <w:rPr/>
              <w:t xml:space="preserve">Zawartość asfaltu i uziarnienie mieszanki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1" w:hanging="0"/>
              <w:jc w:val="center"/>
              <w:rPr/>
            </w:pPr>
            <w:r>
              <w:rPr/>
              <w:t xml:space="preserve">Zgodnie z PN-EN 13108-21 </w:t>
            </w:r>
          </w:p>
        </w:tc>
      </w:tr>
      <w:tr>
        <w:trPr>
          <w:trHeight w:val="562"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57" w:hanging="0"/>
              <w:jc w:val="center"/>
              <w:rPr/>
            </w:pPr>
            <w:r>
              <w:rPr/>
              <w:t xml:space="preserve">8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0" w:hanging="0"/>
              <w:jc w:val="center"/>
              <w:rPr/>
            </w:pPr>
            <w:r>
              <w:rPr/>
              <w:t xml:space="preserve">Zawartość wolnych przestrzeni w próbkach Marshalla oraz VMA i VMB (jeśli wymagane)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65" w:hanging="0"/>
              <w:jc w:val="center"/>
              <w:rPr/>
            </w:pPr>
            <w:r>
              <w:rPr/>
              <w:t xml:space="preserve">jedno badanie dziennie </w:t>
            </w:r>
          </w:p>
        </w:tc>
      </w:tr>
      <w:tr>
        <w:trPr>
          <w:trHeight w:val="643" w:hRule="atLeast"/>
        </w:trPr>
        <w:tc>
          <w:tcPr>
            <w:tcW w:w="5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52" w:hanging="0"/>
              <w:jc w:val="center"/>
              <w:rPr/>
            </w:pPr>
            <w:r>
              <w:rPr/>
              <w:t xml:space="preserve">9 </w:t>
            </w:r>
          </w:p>
        </w:tc>
        <w:tc>
          <w:tcPr>
            <w:tcW w:w="5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353" w:right="0" w:hanging="353"/>
              <w:rPr/>
            </w:pPr>
            <w:r>
              <w:rPr/>
              <w:t xml:space="preserve">Grubość i wskaźnik zagęszczenia warstwy, wolna przestrzeń w warstwie, połączenie międzywarstwowe </w:t>
            </w:r>
          </w:p>
        </w:tc>
        <w:tc>
          <w:tcPr>
            <w:tcW w:w="38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24" w:type="dxa"/>
            </w:tcMar>
          </w:tcPr>
          <w:p>
            <w:pPr>
              <w:pStyle w:val="Normal"/>
              <w:spacing w:lineRule="auto" w:line="259" w:before="0" w:after="0"/>
              <w:ind w:left="0" w:right="0" w:hanging="0"/>
              <w:jc w:val="center"/>
              <w:rPr/>
            </w:pPr>
            <w:r>
              <w:rPr/>
              <w:t xml:space="preserve">2 próbki na 1 km jezdni z każdego pasa ruchu </w:t>
            </w:r>
          </w:p>
        </w:tc>
      </w:tr>
    </w:tbl>
    <w:p>
      <w:pPr>
        <w:pStyle w:val="Normal"/>
        <w:spacing w:lineRule="auto" w:line="259" w:before="0" w:after="39"/>
        <w:ind w:left="828" w:right="0" w:hanging="0"/>
        <w:jc w:val="left"/>
        <w:rPr/>
      </w:pPr>
      <w:r>
        <w:rPr/>
      </w:r>
    </w:p>
    <w:p>
      <w:pPr>
        <w:pStyle w:val="Nagwek3"/>
        <w:tabs>
          <w:tab w:val="center" w:pos="482" w:leader="none"/>
          <w:tab w:val="center" w:pos="1619" w:leader="none"/>
        </w:tabs>
        <w:ind w:left="0" w:right="470" w:hanging="0"/>
        <w:rPr/>
      </w:pPr>
      <w:r>
        <w:rPr>
          <w:rFonts w:eastAsia="Calibri" w:cs="Calibri" w:ascii="Calibri" w:hAnsi="Calibri"/>
          <w:b w:val="false"/>
          <w:sz w:val="22"/>
        </w:rPr>
        <w:tab/>
      </w:r>
      <w:r>
        <w:rPr/>
        <w:t xml:space="preserve">6.3.1 </w:t>
        <w:tab/>
        <w:t xml:space="preserve">Uwagi ogólne </w:t>
      </w:r>
    </w:p>
    <w:p>
      <w:pPr>
        <w:pStyle w:val="Normal"/>
        <w:spacing w:lineRule="auto" w:line="259" w:before="0" w:after="53"/>
        <w:ind w:left="970" w:right="0" w:hanging="0"/>
        <w:jc w:val="left"/>
        <w:rPr/>
      </w:pPr>
      <w:r>
        <w:rPr/>
      </w:r>
    </w:p>
    <w:p>
      <w:pPr>
        <w:pStyle w:val="Normal"/>
        <w:spacing w:before="0" w:after="36"/>
        <w:ind w:left="256" w:right="461" w:firstLine="708"/>
        <w:rPr/>
      </w:pPr>
      <w:r>
        <w:rPr/>
        <w:t xml:space="preserve">Na etapie oceny jakości wbudowanej mieszanki mineralno-asfaltowej podaje się wartości dopuszczalne i tolerancje, w których uwzględnia się: rozrzut występujący przy pobieraniu próbek, dokładność metod badań oraz odstępstwa uwarunkowane metodą pracy, chyba że w konkretnym wypadku podano inaczej. </w:t>
      </w:r>
    </w:p>
    <w:p>
      <w:pPr>
        <w:pStyle w:val="Normal"/>
        <w:spacing w:before="0" w:after="36"/>
        <w:ind w:left="256" w:right="461" w:firstLine="708"/>
        <w:rPr/>
      </w:pPr>
      <w:r>
        <w:rPr/>
        <w:t xml:space="preserve">Wszystkie właściwości materiałów składowych oraz wyprodukowanej mieszanki mineralnoasfaltowej powinny być zgodne z wymaganiami niniejszej specyfikacji w granicach dopuszczalnych odchyłek. </w:t>
      </w:r>
    </w:p>
    <w:p>
      <w:pPr>
        <w:pStyle w:val="Normal"/>
        <w:ind w:left="256" w:right="461" w:firstLine="708"/>
        <w:rPr/>
      </w:pPr>
      <w:r>
        <w:rPr/>
        <w:t xml:space="preserve">Właściwości te należy oceniać na podstawie badań próbek mieszanki mineralno-asfaltowej przed wbudowaniem (wbudowanie oznacza wykonanie warstwy asfaltowej). Wyjątkowo dopuszcza się badanie próbek pobranych z nawierzchni (kompletnie wykonanej warstwy). W takim przypadku Wykonawca zaproponuje procedurę pobierania próbek i przygotowania ich do badań oraz uzgodni ją z Inżynierem. </w:t>
      </w:r>
    </w:p>
    <w:p>
      <w:pPr>
        <w:pStyle w:val="Normal"/>
        <w:spacing w:lineRule="auto" w:line="259" w:before="0" w:after="24"/>
        <w:ind w:left="1114" w:right="0" w:hanging="0"/>
        <w:jc w:val="left"/>
        <w:rPr/>
      </w:pPr>
      <w:r>
        <w:rPr/>
      </w:r>
    </w:p>
    <w:p>
      <w:pPr>
        <w:pStyle w:val="Nagwek3"/>
        <w:tabs>
          <w:tab w:val="center" w:pos="478" w:leader="none"/>
          <w:tab w:val="center" w:pos="2503" w:leader="none"/>
        </w:tabs>
        <w:ind w:left="0" w:right="470" w:hanging="0"/>
        <w:rPr/>
      </w:pPr>
      <w:r>
        <w:rPr>
          <w:rFonts w:eastAsia="Calibri" w:cs="Calibri" w:ascii="Calibri" w:hAnsi="Calibri"/>
          <w:b w:val="false"/>
          <w:sz w:val="22"/>
        </w:rPr>
        <w:tab/>
      </w:r>
      <w:r>
        <w:rPr/>
        <w:t xml:space="preserve">6.3.2 </w:t>
        <w:tab/>
        <w:t xml:space="preserve">Zawartość lepiszcza i uziarnienie </w:t>
      </w:r>
    </w:p>
    <w:p>
      <w:pPr>
        <w:pStyle w:val="Normal"/>
        <w:spacing w:lineRule="auto" w:line="259" w:before="0" w:after="38"/>
        <w:ind w:left="970" w:right="0" w:hanging="0"/>
        <w:jc w:val="left"/>
        <w:rPr/>
      </w:pPr>
      <w:r>
        <w:rPr/>
      </w:r>
    </w:p>
    <w:p>
      <w:pPr>
        <w:pStyle w:val="Normal"/>
        <w:ind w:left="256" w:right="461" w:firstLine="708"/>
        <w:rPr/>
      </w:pPr>
      <w:r>
        <w:rPr/>
        <w:t xml:space="preserve">Zawartość rozpuszczalnego lepiszcza z każdej próbki pobranej z mieszanki mineralno-asfaltowej lub wyjątkowo z próbki pobranej z nawierzchni nie może odbiegać od wartości projektowanej z uwzględnieniem odchyłek podanych w tablicy 21. Badanie polega na wykonaniu ekstrakcji asfaltu, zgodnie z PN-EN 12697-1, próbki AC pobranej z mieszanki mineralno-asfaltowej. </w:t>
      </w:r>
    </w:p>
    <w:p>
      <w:pPr>
        <w:pStyle w:val="Normal"/>
        <w:spacing w:before="0" w:after="270"/>
        <w:ind w:left="256" w:right="461" w:firstLine="708"/>
        <w:rPr/>
      </w:pPr>
      <w:r>
        <w:rPr/>
        <w:t xml:space="preserve">Po wykonaniu ekstrakcji lepiszcza należy przeprowadzić kontrolę uziarnienia mieszanki kruszywa mineralnego. Uziarnienie mieszanki mineralnej z każdej próbki pobranej z luźnej mieszanki mineralno-asfaltowej nie może odbiegać od wartości projektowanej, z uwzględnieniem odchyłek, podanych w tablicy 21. </w:t>
      </w:r>
    </w:p>
    <w:p>
      <w:pPr>
        <w:pStyle w:val="Normal"/>
        <w:ind w:left="266" w:right="461" w:hanging="10"/>
        <w:rPr/>
      </w:pPr>
      <w:r>
        <w:rPr/>
        <w:t xml:space="preserve">Tablica 21. Odchylenia stosowane w ocenie zgodności produkcji mieszanki mineralno-asfaltowej z dokumentacją projektową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9" w:type="dxa"/>
          <w:left w:w="105" w:type="dxa"/>
          <w:bottom w:w="0" w:type="dxa"/>
          <w:right w:w="115" w:type="dxa"/>
        </w:tblCellMar>
        <w:tblLook w:val="04a0"/>
      </w:tblPr>
      <w:tblGrid>
        <w:gridCol w:w="2397"/>
        <w:gridCol w:w="2396"/>
        <w:gridCol w:w="2393"/>
        <w:gridCol w:w="2386"/>
      </w:tblGrid>
      <w:tr>
        <w:trPr>
          <w:trHeight w:val="408" w:hRule="atLeast"/>
        </w:trPr>
        <w:tc>
          <w:tcPr>
            <w:tcW w:w="2397"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vAlign w:val="center"/>
          </w:tcPr>
          <w:p>
            <w:pPr>
              <w:pStyle w:val="Normal"/>
              <w:spacing w:lineRule="auto" w:line="259" w:before="0" w:after="0"/>
              <w:ind w:left="0" w:right="0" w:hanging="0"/>
              <w:jc w:val="center"/>
              <w:rPr/>
            </w:pPr>
            <w:r>
              <w:rPr/>
              <w:t xml:space="preserve">Zawartość kruszywa o wymiarze </w:t>
            </w:r>
          </w:p>
        </w:tc>
        <w:tc>
          <w:tcPr>
            <w:tcW w:w="71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2" w:hanging="0"/>
              <w:jc w:val="center"/>
              <w:rPr/>
            </w:pPr>
            <w:r>
              <w:rPr/>
              <w:t xml:space="preserve">Dopuszczalne odchylenie pojedynczej próbki od założonego składu [%] </w:t>
            </w:r>
          </w:p>
        </w:tc>
      </w:tr>
      <w:tr>
        <w:trPr>
          <w:trHeight w:val="468" w:hRule="atLeast"/>
        </w:trPr>
        <w:tc>
          <w:tcPr>
            <w:tcW w:w="2397"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left"/>
              <w:rPr/>
            </w:pPr>
            <w:r>
              <w:rPr/>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530" w:right="467" w:hanging="0"/>
              <w:jc w:val="center"/>
              <w:rPr/>
            </w:pPr>
            <w:r>
              <w:rPr/>
              <w:t xml:space="preserve">AC 11W  KR 1 – KR 2 </w:t>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528" w:right="467" w:hanging="0"/>
              <w:jc w:val="center"/>
              <w:rPr/>
            </w:pPr>
            <w:r>
              <w:rPr/>
              <w:t xml:space="preserve">AC 16W  KR 3 – KR 4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299" w:right="248" w:hanging="0"/>
              <w:jc w:val="center"/>
              <w:rPr/>
            </w:pPr>
            <w:r>
              <w:rPr/>
              <w:t xml:space="preserve">AC WMS 16W KR 5 – KR6 </w:t>
            </w:r>
          </w:p>
        </w:tc>
      </w:tr>
      <w:tr>
        <w:trPr>
          <w:trHeight w:val="408" w:hRule="atLeast"/>
        </w:trPr>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3" w:hanging="0"/>
              <w:jc w:val="center"/>
              <w:rPr/>
            </w:pPr>
            <w:r>
              <w:rPr/>
              <w:t xml:space="preserve">&lt; 16 mmm </w:t>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55" w:right="0" w:hanging="0"/>
              <w:jc w:val="center"/>
              <w:rPr/>
            </w:pPr>
            <w:r>
              <w:rPr/>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 5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5" w:hanging="0"/>
              <w:jc w:val="center"/>
              <w:rPr/>
            </w:pPr>
            <w:r>
              <w:rPr/>
              <w:t xml:space="preserve">± 5 </w:t>
            </w:r>
          </w:p>
        </w:tc>
      </w:tr>
      <w:tr>
        <w:trPr>
          <w:trHeight w:val="408" w:hRule="atLeast"/>
        </w:trPr>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&lt; 11,2 mm </w:t>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2" w:right="0" w:hanging="0"/>
              <w:jc w:val="center"/>
              <w:rPr/>
            </w:pPr>
            <w:r>
              <w:rPr/>
              <w:t xml:space="preserve">± 4 </w:t>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 4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5" w:hanging="0"/>
              <w:jc w:val="center"/>
              <w:rPr/>
            </w:pPr>
            <w:r>
              <w:rPr/>
              <w:t xml:space="preserve">± 4 </w:t>
            </w:r>
          </w:p>
        </w:tc>
      </w:tr>
      <w:tr>
        <w:trPr>
          <w:trHeight w:val="406" w:hRule="atLeast"/>
        </w:trPr>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1" w:hanging="0"/>
              <w:jc w:val="center"/>
              <w:rPr/>
            </w:pPr>
            <w:r>
              <w:rPr/>
              <w:t xml:space="preserve">&lt; 8 mm </w:t>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2" w:right="0" w:hanging="0"/>
              <w:jc w:val="center"/>
              <w:rPr/>
            </w:pPr>
            <w:r>
              <w:rPr/>
              <w:t xml:space="preserve">± 4 </w:t>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 3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5" w:hanging="0"/>
              <w:jc w:val="center"/>
              <w:rPr/>
            </w:pPr>
            <w:r>
              <w:rPr/>
              <w:t xml:space="preserve">± 4 </w:t>
            </w:r>
          </w:p>
        </w:tc>
      </w:tr>
      <w:tr>
        <w:trPr>
          <w:trHeight w:val="408" w:hRule="atLeast"/>
        </w:trPr>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1" w:hanging="0"/>
              <w:jc w:val="center"/>
              <w:rPr/>
            </w:pPr>
            <w:r>
              <w:rPr/>
              <w:t xml:space="preserve">&lt; 2 mm </w:t>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2" w:right="0" w:hanging="0"/>
              <w:jc w:val="center"/>
              <w:rPr/>
            </w:pPr>
            <w:r>
              <w:rPr/>
              <w:t xml:space="preserve">± 3 </w:t>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 3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5" w:hanging="0"/>
              <w:jc w:val="center"/>
              <w:rPr/>
            </w:pPr>
            <w:r>
              <w:rPr/>
              <w:t xml:space="preserve">± 3 </w:t>
            </w:r>
          </w:p>
        </w:tc>
      </w:tr>
      <w:tr>
        <w:trPr>
          <w:trHeight w:val="406" w:hRule="atLeast"/>
        </w:trPr>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&lt; 0,125 mm </w:t>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2" w:right="0" w:hanging="0"/>
              <w:jc w:val="center"/>
              <w:rPr/>
            </w:pPr>
            <w:r>
              <w:rPr/>
              <w:t xml:space="preserve">± 3 </w:t>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 2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5" w:hanging="0"/>
              <w:jc w:val="center"/>
              <w:rPr/>
            </w:pPr>
            <w:r>
              <w:rPr/>
              <w:t xml:space="preserve">± 3 </w:t>
            </w:r>
          </w:p>
        </w:tc>
      </w:tr>
      <w:tr>
        <w:trPr>
          <w:trHeight w:val="408" w:hRule="atLeast"/>
        </w:trPr>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&lt; 0,063 mm </w:t>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2" w:right="0" w:hanging="0"/>
              <w:jc w:val="center"/>
              <w:rPr/>
            </w:pPr>
            <w:r>
              <w:rPr/>
              <w:t xml:space="preserve">± 2 </w:t>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 1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5" w:hanging="0"/>
              <w:jc w:val="center"/>
              <w:rPr/>
            </w:pPr>
            <w:r>
              <w:rPr/>
              <w:t xml:space="preserve">± 2 </w:t>
            </w:r>
          </w:p>
        </w:tc>
      </w:tr>
      <w:tr>
        <w:trPr>
          <w:trHeight w:val="470" w:hRule="atLeast"/>
        </w:trPr>
        <w:tc>
          <w:tcPr>
            <w:tcW w:w="2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tcPr>
          <w:p>
            <w:pPr>
              <w:pStyle w:val="Normal"/>
              <w:spacing w:lineRule="auto" w:line="259" w:before="0" w:after="0"/>
              <w:ind w:left="0" w:right="0" w:hanging="0"/>
              <w:jc w:val="center"/>
              <w:rPr/>
            </w:pPr>
            <w:r>
              <w:rPr/>
              <w:t xml:space="preserve">Zawartość rozpuszczalnego lepiszcza </w:t>
            </w:r>
          </w:p>
        </w:tc>
        <w:tc>
          <w:tcPr>
            <w:tcW w:w="23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vAlign w:val="center"/>
          </w:tcPr>
          <w:p>
            <w:pPr>
              <w:pStyle w:val="Normal"/>
              <w:spacing w:lineRule="auto" w:line="259" w:before="0" w:after="0"/>
              <w:ind w:left="0" w:right="0" w:hanging="0"/>
              <w:jc w:val="center"/>
              <w:rPr/>
            </w:pPr>
            <w:r>
              <w:rPr/>
              <w:t xml:space="preserve">± 0,3 </w:t>
            </w:r>
          </w:p>
        </w:tc>
        <w:tc>
          <w:tcPr>
            <w:tcW w:w="2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vAlign w:val="center"/>
          </w:tcPr>
          <w:p>
            <w:pPr>
              <w:pStyle w:val="Normal"/>
              <w:spacing w:lineRule="auto" w:line="259" w:before="0" w:after="0"/>
              <w:ind w:left="0" w:right="3" w:hanging="0"/>
              <w:jc w:val="center"/>
              <w:rPr/>
            </w:pPr>
            <w:r>
              <w:rPr/>
              <w:t xml:space="preserve">± 0,3 </w:t>
            </w:r>
          </w:p>
        </w:tc>
        <w:tc>
          <w:tcPr>
            <w:tcW w:w="2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5" w:type="dxa"/>
            </w:tcMar>
            <w:vAlign w:val="center"/>
          </w:tcPr>
          <w:p>
            <w:pPr>
              <w:pStyle w:val="Normal"/>
              <w:spacing w:lineRule="auto" w:line="259" w:before="0" w:after="0"/>
              <w:ind w:left="0" w:right="3" w:hanging="0"/>
              <w:jc w:val="center"/>
              <w:rPr/>
            </w:pPr>
            <w:r>
              <w:rPr/>
              <w:t xml:space="preserve">± 0,3 </w:t>
            </w:r>
          </w:p>
        </w:tc>
      </w:tr>
    </w:tbl>
    <w:p>
      <w:pPr>
        <w:pStyle w:val="Normal"/>
        <w:spacing w:lineRule="auto" w:line="259" w:before="0" w:after="23"/>
        <w:ind w:left="970" w:right="0" w:hanging="0"/>
        <w:jc w:val="left"/>
        <w:rPr/>
      </w:pPr>
      <w:r>
        <w:rPr/>
      </w:r>
    </w:p>
    <w:p>
      <w:pPr>
        <w:pStyle w:val="Nagwek3"/>
        <w:tabs>
          <w:tab w:val="center" w:pos="482" w:leader="none"/>
          <w:tab w:val="center" w:pos="3566" w:leader="none"/>
        </w:tabs>
        <w:spacing w:before="0" w:after="60"/>
        <w:ind w:left="0" w:right="470" w:hanging="0"/>
        <w:rPr/>
      </w:pPr>
      <w:r>
        <w:rPr>
          <w:rFonts w:eastAsia="Calibri" w:cs="Calibri" w:ascii="Calibri" w:hAnsi="Calibri"/>
          <w:b w:val="false"/>
          <w:sz w:val="22"/>
        </w:rPr>
        <w:tab/>
      </w:r>
      <w:r>
        <w:rPr/>
        <w:t xml:space="preserve">6.3.3 </w:t>
        <w:tab/>
        <w:t xml:space="preserve">Zawartość wolnych przestrzeni w MMA oraz VMA i VFB </w:t>
      </w:r>
    </w:p>
    <w:p>
      <w:pPr>
        <w:pStyle w:val="Normal"/>
        <w:ind w:left="256" w:right="461" w:firstLine="708"/>
        <w:rPr/>
      </w:pPr>
      <w:r>
        <w:rPr/>
        <w:t xml:space="preserve">Zawartość wolnych przestrzeni w próbkach Marshalla należy określać metodą opisaną w normie PN-EN 12697-8. Gęstość mieszanki mineralno-asfaltowej powinna być zbadana według metody opisanej w normie PN-EN 12697-5 metoda B w wodzie. Gęstość objętościową próbek Marshalla wykonanych z mieszanki pobranej w dniu jej wbudowania należy określać metodą hydrostatyczną według PN-EN 12697-6. Wartość poszczególnych oznaczeń powinna mieścić się w granicach podanych w tablicy 14, 15,16. </w:t>
      </w:r>
    </w:p>
    <w:p>
      <w:pPr>
        <w:pStyle w:val="Normal"/>
        <w:spacing w:lineRule="auto" w:line="259" w:before="0" w:after="38"/>
        <w:ind w:left="1114" w:right="0" w:hanging="0"/>
        <w:jc w:val="left"/>
        <w:rPr/>
      </w:pPr>
      <w:r>
        <w:rPr/>
      </w:r>
    </w:p>
    <w:p>
      <w:pPr>
        <w:pStyle w:val="Normal"/>
        <w:ind w:left="266" w:right="461" w:hanging="10"/>
        <w:rPr/>
      </w:pPr>
      <w:r>
        <w:rPr>
          <w:b/>
        </w:rPr>
        <w:t xml:space="preserve">6.3.4 Badanie właściwości kruszywa i asfaltu </w:t>
      </w:r>
      <w:r>
        <w:rPr/>
        <w:t xml:space="preserve">Dla każdej dostawy należy przeprowadzić analizę dokumentów towarzyszących znakowaniu CE dla każdego asortymentu, pod względem kompletności deklaracji Producenta, weryfikacji czy deklaracja dotyczy konkretnej dostawy, stałości cech klasowych oraz w stosunku do wymagań Zamawiającego. Właściwości kruszyw i asfaltu należy kontrolować zgodnie z pkt.2. w zakresie i częstotliwością podaną w tablicy 20. </w:t>
      </w:r>
    </w:p>
    <w:p>
      <w:pPr>
        <w:pStyle w:val="Normal"/>
        <w:spacing w:lineRule="auto" w:line="259" w:before="0" w:after="43"/>
        <w:ind w:left="1114" w:right="0" w:hanging="0"/>
        <w:jc w:val="left"/>
        <w:rPr/>
      </w:pPr>
      <w:r>
        <w:rPr/>
      </w:r>
    </w:p>
    <w:p>
      <w:pPr>
        <w:pStyle w:val="Nagwek3"/>
        <w:tabs>
          <w:tab w:val="center" w:pos="482" w:leader="none"/>
          <w:tab w:val="center" w:pos="2986" w:leader="none"/>
        </w:tabs>
        <w:spacing w:before="0" w:after="52"/>
        <w:ind w:left="0" w:right="470" w:hanging="0"/>
        <w:rPr/>
      </w:pPr>
      <w:r>
        <w:rPr>
          <w:rFonts w:eastAsia="Calibri" w:cs="Calibri" w:ascii="Calibri" w:hAnsi="Calibri"/>
          <w:b w:val="false"/>
          <w:sz w:val="22"/>
        </w:rPr>
        <w:tab/>
      </w:r>
      <w:r>
        <w:rPr/>
        <w:t xml:space="preserve">6.3.5 </w:t>
        <w:tab/>
        <w:t xml:space="preserve">Pomiar temperatury składników mieszanki </w:t>
      </w:r>
    </w:p>
    <w:p>
      <w:pPr>
        <w:pStyle w:val="Normal"/>
        <w:ind w:left="266" w:right="461" w:hanging="10"/>
        <w:rPr/>
      </w:pPr>
      <w:r>
        <w:rPr/>
        <w:t xml:space="preserve">Temperaturę składników mieszanki należy kontrolować z częstotliwością podaną w tablicy 17. Pomiar polega na odczytaniu wskazań odpowiednich termometrów zamontowanych w otaczarce. Wyniki powinny być zgodne z wymaganiami podanym w punkcie 5.3. </w:t>
      </w:r>
    </w:p>
    <w:p>
      <w:pPr>
        <w:pStyle w:val="Normal"/>
        <w:spacing w:lineRule="auto" w:line="259" w:before="0" w:after="14"/>
        <w:ind w:left="1114" w:right="0" w:hanging="0"/>
        <w:jc w:val="left"/>
        <w:rPr/>
      </w:pPr>
      <w:r>
        <w:rPr/>
      </w:r>
    </w:p>
    <w:p>
      <w:pPr>
        <w:pStyle w:val="Normal"/>
        <w:ind w:left="266" w:right="461" w:hanging="10"/>
        <w:rPr/>
      </w:pPr>
      <w:r>
        <w:rPr>
          <w:b/>
        </w:rPr>
        <w:t xml:space="preserve">6.3.6 Pomiar temperatury mieszanki </w:t>
      </w:r>
      <w:r>
        <w:rPr/>
        <w:t xml:space="preserve">Temperaturę mieszanki mineralno-asfaltowej należy mierzyć i rejestrować przy załadunku i w czasie rozładunku. Wyniki powinny być zgodne z wymaganiami podanymi w punkcie 5.3. Mieszanka asfaltowa nie może opuścić placu wytwórni o temperaturze wyższej niż 180°C. Do kosza zasypowego układarki nie może być wprowadzona mieszkanka o temperaturze mniejszej niż 140°C. </w:t>
      </w:r>
    </w:p>
    <w:p>
      <w:pPr>
        <w:pStyle w:val="Normal"/>
        <w:spacing w:lineRule="auto" w:line="259" w:before="0" w:after="34"/>
        <w:ind w:left="1114" w:right="0" w:hanging="0"/>
        <w:jc w:val="left"/>
        <w:rPr/>
      </w:pPr>
      <w:r>
        <w:rPr/>
      </w:r>
    </w:p>
    <w:p>
      <w:pPr>
        <w:pStyle w:val="Normal"/>
        <w:ind w:left="266" w:right="461" w:hanging="10"/>
        <w:rPr/>
      </w:pPr>
      <w:r>
        <w:rPr>
          <w:b/>
        </w:rPr>
        <w:t xml:space="preserve">6.3.7 Pomiar grubości warstwy </w:t>
      </w:r>
      <w:r>
        <w:rPr/>
        <w:t xml:space="preserve">Grubości wykonanej warstwy należy określać z częstością podaną w tablicy 20 na podstawie wyciętych próbek metodą wg PN-EN 12697-36. Grubość wykonanej warstwy określana na pojedynczej próbce nie może odbiegać od projektu o więcej niż ±10%. </w:t>
      </w:r>
    </w:p>
    <w:p>
      <w:pPr>
        <w:pStyle w:val="Normal"/>
        <w:spacing w:lineRule="auto" w:line="259" w:before="0" w:after="44"/>
        <w:ind w:left="1114" w:right="0" w:hanging="0"/>
        <w:jc w:val="left"/>
        <w:rPr/>
      </w:pPr>
      <w:r>
        <w:rPr/>
      </w:r>
    </w:p>
    <w:p>
      <w:pPr>
        <w:pStyle w:val="Normal"/>
        <w:spacing w:before="0" w:after="43"/>
        <w:ind w:left="266" w:right="461" w:hanging="10"/>
        <w:rPr/>
      </w:pPr>
      <w:r>
        <w:rPr>
          <w:b/>
        </w:rPr>
        <w:t xml:space="preserve">6.3.8 Wskaźnik zagęszczenia warstwy </w:t>
      </w:r>
      <w:r>
        <w:rPr/>
        <w:t xml:space="preserve">Wskaźnik zagęszczenia warstwy należy sprawdzać na próbkach wyciętych z zagęszczonej warstwy poprzez porównanie gęstości objętościowej wyciętych próbek z gęstością objętościową próbek Marshalla zagęszczonych z mieszanki mineralno-asfaltowej pobranej w lokalizacji zgodnej z miejscem wykonanego odwiertu. W przypadku wykonania więcej niż jednego badania gęstości objętościowej na próbkach Marshalla w ciągu jednego dnia do obliczeń zagęszczenia należy przyjąć średnią arytmetyczną z wszystkich oznaczeń. Określanie gęstości objętościowej należy wykonywać metodą B według normy PN-EN 12697-6. Wskaźnik zagęszczenia nie może być niższy niż podano w tablicy 19. </w:t>
      </w:r>
    </w:p>
    <w:p>
      <w:pPr>
        <w:pStyle w:val="Normal"/>
        <w:spacing w:lineRule="auto" w:line="259" w:before="0" w:after="45"/>
        <w:ind w:left="1114" w:right="0" w:hanging="0"/>
        <w:jc w:val="left"/>
        <w:rPr/>
      </w:pPr>
      <w:r>
        <w:rPr/>
      </w:r>
    </w:p>
    <w:p>
      <w:pPr>
        <w:pStyle w:val="Normal"/>
        <w:ind w:left="266" w:right="461" w:hanging="10"/>
        <w:rPr/>
      </w:pPr>
      <w:r>
        <w:rPr>
          <w:b/>
        </w:rPr>
        <w:t xml:space="preserve">6.3.9 Wolna przestrzeń w zagęszczonej warstwie </w:t>
      </w:r>
      <w:r>
        <w:rPr/>
        <w:t xml:space="preserve">Wolną przestrzeń w warstwie należy określać wg PN-EN 12697-8. Do obliczeń należy przyjąć gęstość mm-a oznaczonej wg PN-EN 12697-5 z mieszanki mineralno-asfaltowej pobranej w lokalizacji zgodnej z miejscem wykonanego odwiertu. Wynik powinien mieścić się w przedziale podanym w tablicy 19. </w:t>
      </w:r>
    </w:p>
    <w:p>
      <w:pPr>
        <w:pStyle w:val="Normal"/>
        <w:spacing w:lineRule="auto" w:line="259" w:before="0" w:after="43"/>
        <w:ind w:left="262" w:right="0" w:hanging="0"/>
        <w:jc w:val="left"/>
        <w:rPr/>
      </w:pPr>
      <w:r>
        <w:rPr/>
      </w:r>
    </w:p>
    <w:p>
      <w:pPr>
        <w:pStyle w:val="Normal"/>
        <w:ind w:left="266" w:right="461" w:hanging="10"/>
        <w:rPr/>
      </w:pPr>
      <w:r>
        <w:rPr>
          <w:b/>
        </w:rPr>
        <w:t xml:space="preserve">6.3.10 Połączenia międzywarstwowe </w:t>
      </w:r>
      <w:r>
        <w:rPr/>
        <w:t xml:space="preserve">Połączenia międzywarstwowe należy wykonać zgodnie z punktem 5.7. Wynik nie może być niższy niż podano w tablicy 18. </w:t>
      </w:r>
    </w:p>
    <w:p>
      <w:pPr>
        <w:pStyle w:val="Normal"/>
        <w:spacing w:lineRule="auto" w:line="259" w:before="0" w:after="0"/>
        <w:ind w:left="970" w:right="0" w:hanging="0"/>
        <w:jc w:val="left"/>
        <w:rPr/>
      </w:pPr>
      <w:r>
        <w:rPr/>
      </w:r>
    </w:p>
    <w:p>
      <w:pPr>
        <w:pStyle w:val="Nagwek2"/>
        <w:tabs>
          <w:tab w:val="center" w:pos="427" w:leader="none"/>
          <w:tab w:val="center" w:pos="2269" w:leader="none"/>
        </w:tabs>
        <w:spacing w:before="0" w:after="58"/>
        <w:ind w:left="0" w:right="470" w:hanging="0"/>
        <w:rPr/>
      </w:pPr>
      <w:r>
        <w:rPr>
          <w:rFonts w:eastAsia="Calibri" w:cs="Calibri" w:ascii="Calibri" w:hAnsi="Calibri"/>
          <w:b w:val="false"/>
          <w:sz w:val="22"/>
        </w:rPr>
        <w:tab/>
      </w:r>
      <w:r>
        <w:rPr/>
        <w:t xml:space="preserve">6.7. </w:t>
        <w:tab/>
        <w:t xml:space="preserve">Badania kontrolne dodatkowe </w:t>
      </w:r>
    </w:p>
    <w:p>
      <w:pPr>
        <w:pStyle w:val="Normal"/>
        <w:ind w:left="256" w:right="461" w:firstLine="566"/>
        <w:rPr/>
      </w:pPr>
      <w:r>
        <w:rPr/>
        <w:t xml:space="preserve">W wypadku uznania, że jeden z wyników badań kontrolnych nie jest reprezentatywny dla ocenianego odcinka budowy, Wykonawca ma prawo żądać przeprowadzenia badań kontrolnych dodatkowych. </w:t>
      </w:r>
    </w:p>
    <w:p>
      <w:pPr>
        <w:pStyle w:val="Normal"/>
        <w:ind w:left="256" w:right="461" w:firstLine="566"/>
        <w:rPr/>
      </w:pPr>
      <w:r>
        <w:rPr/>
        <w:t xml:space="preserve">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pPr>
        <w:pStyle w:val="Normal"/>
        <w:ind w:left="256" w:right="461" w:firstLine="566"/>
        <w:rPr/>
      </w:pPr>
      <w:r>
        <w:rPr/>
        <w:t xml:space="preserve">Do odbioru uwzględniane są wyniki badań kontrolnych i badań kontrolnych dodatkowych do wyznaczonych odcinków częściowych. Koszty badań kontrolnych dodatkowych zażądanych przez Wykonawcę ponosi Wykonawca. </w:t>
      </w:r>
    </w:p>
    <w:p>
      <w:pPr>
        <w:pStyle w:val="Normal"/>
        <w:spacing w:lineRule="auto" w:line="259" w:before="0" w:after="0"/>
        <w:ind w:left="828" w:right="0" w:hanging="0"/>
        <w:jc w:val="left"/>
        <w:rPr/>
      </w:pPr>
      <w:r>
        <w:rPr/>
      </w:r>
    </w:p>
    <w:p>
      <w:pPr>
        <w:pStyle w:val="Nagwek2"/>
        <w:tabs>
          <w:tab w:val="center" w:pos="427" w:leader="none"/>
          <w:tab w:val="center" w:pos="1817" w:leader="none"/>
        </w:tabs>
        <w:spacing w:before="0" w:after="58"/>
        <w:ind w:left="0" w:right="470" w:hanging="0"/>
        <w:rPr/>
      </w:pPr>
      <w:r>
        <w:rPr>
          <w:rFonts w:eastAsia="Calibri" w:cs="Calibri" w:ascii="Calibri" w:hAnsi="Calibri"/>
          <w:b w:val="false"/>
          <w:sz w:val="22"/>
        </w:rPr>
        <w:tab/>
      </w:r>
      <w:r>
        <w:rPr/>
        <w:t xml:space="preserve">6.8. </w:t>
        <w:tab/>
        <w:t xml:space="preserve">Badania arbitrażowe </w:t>
      </w:r>
    </w:p>
    <w:p>
      <w:pPr>
        <w:pStyle w:val="Normal"/>
        <w:ind w:left="256" w:right="461" w:firstLine="566"/>
        <w:rPr/>
      </w:pPr>
      <w:r>
        <w:rPr/>
        <w:t xml:space="preserve">Badania arbitrażowe są powtórzeniem badań kontrolnych, co do których istnieją uzasadnione wątpliwości ze strony Inżyniera lub Wykonawcy (np. na podstawie własnych badań). </w:t>
      </w:r>
    </w:p>
    <w:p>
      <w:pPr>
        <w:pStyle w:val="Normal"/>
        <w:ind w:left="256" w:right="461" w:firstLine="566"/>
        <w:rPr/>
      </w:pPr>
      <w:r>
        <w:rPr/>
        <w:t xml:space="preserve">Badania arbitrażowe wykonuje na wniosek strony kontraktu niezależne laboratorium akredytowane, które nie wykonywało badań kontrolnych. </w:t>
      </w:r>
    </w:p>
    <w:p>
      <w:pPr>
        <w:pStyle w:val="Normal"/>
        <w:ind w:left="256" w:right="461" w:firstLine="566"/>
        <w:rPr/>
      </w:pPr>
      <w:r>
        <w:rPr/>
        <w:t xml:space="preserve">Koszty badań arbitrażowych wraz ze wszystkimi kosztami ubocznymi ponosi strona, na której niekorzyść przemawia wynik badania. </w:t>
      </w:r>
    </w:p>
    <w:p>
      <w:pPr>
        <w:pStyle w:val="Normal"/>
        <w:spacing w:lineRule="auto" w:line="259" w:before="0" w:after="0"/>
        <w:ind w:left="828" w:right="0" w:hanging="0"/>
        <w:jc w:val="left"/>
        <w:rPr/>
      </w:pPr>
      <w:r>
        <w:rPr/>
      </w:r>
    </w:p>
    <w:p>
      <w:pPr>
        <w:pStyle w:val="Normal"/>
        <w:spacing w:before="0" w:after="34"/>
        <w:ind w:left="822" w:right="461" w:hanging="566"/>
        <w:rPr/>
      </w:pPr>
      <w:r>
        <w:rPr>
          <w:b/>
        </w:rPr>
        <w:t xml:space="preserve">6.9. </w:t>
      </w:r>
      <w:r>
        <w:rPr/>
        <w:t xml:space="preserve">Badania dotyczące cech geometrycznych warstwy nawierzchni z betonu asfaltowego AC lub. Badania i częstotliwość określa tablica 22 </w:t>
      </w:r>
    </w:p>
    <w:p>
      <w:pPr>
        <w:pStyle w:val="Normal"/>
        <w:spacing w:lineRule="auto" w:line="259" w:before="0" w:after="8"/>
        <w:ind w:left="828" w:right="0" w:hanging="0"/>
        <w:jc w:val="left"/>
        <w:rPr/>
      </w:pPr>
      <w:r>
        <w:rPr/>
      </w:r>
    </w:p>
    <w:p>
      <w:pPr>
        <w:pStyle w:val="Normal"/>
        <w:ind w:left="266" w:right="461" w:hanging="10"/>
        <w:rPr/>
      </w:pPr>
      <w:r>
        <w:rPr/>
        <w:t xml:space="preserve">Tablica 22 Częstotliwość oraz zakres badań i pomiarów wykonanej warstwy z betonu asfaltowego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9" w:type="dxa"/>
          <w:left w:w="98" w:type="dxa"/>
          <w:bottom w:w="0" w:type="dxa"/>
          <w:right w:w="53" w:type="dxa"/>
        </w:tblCellMar>
        <w:tblLook w:val="04a0"/>
      </w:tblPr>
      <w:tblGrid>
        <w:gridCol w:w="530"/>
        <w:gridCol w:w="4200"/>
        <w:gridCol w:w="4843"/>
      </w:tblGrid>
      <w:tr>
        <w:trPr>
          <w:trHeight w:val="240"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Lp.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Badana cecha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Minimalna częstotliwość badań i pomiarów </w:t>
            </w:r>
          </w:p>
        </w:tc>
      </w:tr>
      <w:tr>
        <w:trPr>
          <w:trHeight w:val="241"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1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Szerokość warstwy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10 razy na 1km każdej jezdni </w:t>
            </w:r>
          </w:p>
        </w:tc>
      </w:tr>
      <w:tr>
        <w:trPr>
          <w:trHeight w:val="931"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2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Równość podłużna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53" w:hanging="0"/>
              <w:rPr/>
            </w:pPr>
            <w:r>
              <w:rPr/>
              <w:t xml:space="preserve">Dla każdej jezdni i każdego pasa ruchu pomiar ciągły planografem, dla innych elementów pomiar łatą i klinem, gdzie nie można wykorzystać innych metod. </w:t>
            </w:r>
          </w:p>
        </w:tc>
      </w:tr>
      <w:tr>
        <w:trPr>
          <w:trHeight w:val="470"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3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Równość poprzeczna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rPr/>
            </w:pPr>
            <w:r>
              <w:rPr/>
              <w:t xml:space="preserve">Pomiar metoda równoważną przy użyciu łaty i klina nie rzadziej, niż co 5m </w:t>
            </w:r>
          </w:p>
        </w:tc>
      </w:tr>
      <w:tr>
        <w:trPr>
          <w:trHeight w:val="240"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4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Spadki poprzeczne warstwy *)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Nie rzadziej niż co 20m </w:t>
            </w:r>
          </w:p>
        </w:tc>
      </w:tr>
      <w:tr>
        <w:trPr>
          <w:trHeight w:val="240"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5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Ukształtowanie osi w planie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Zgodnie z dokumentacją projektową </w:t>
            </w:r>
          </w:p>
        </w:tc>
      </w:tr>
      <w:tr>
        <w:trPr>
          <w:trHeight w:val="240"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6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Rzędne wysokościowe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Zgodnie z opisem w punkcie 6.6.6. </w:t>
            </w:r>
          </w:p>
        </w:tc>
      </w:tr>
      <w:tr>
        <w:trPr>
          <w:trHeight w:val="240"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7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Złącza podłużne i poprzeczne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Cała długość złącza </w:t>
            </w:r>
          </w:p>
        </w:tc>
      </w:tr>
      <w:tr>
        <w:trPr>
          <w:trHeight w:val="240" w:hRule="atLeast"/>
        </w:trPr>
        <w:tc>
          <w:tcPr>
            <w:tcW w:w="5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8 </w:t>
            </w:r>
          </w:p>
        </w:tc>
        <w:tc>
          <w:tcPr>
            <w:tcW w:w="42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Wygląd warstwy </w:t>
            </w:r>
          </w:p>
        </w:tc>
        <w:tc>
          <w:tcPr>
            <w:tcW w:w="4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spacing w:lineRule="auto" w:line="259" w:before="0" w:after="0"/>
              <w:ind w:left="0" w:right="0" w:hanging="0"/>
              <w:jc w:val="left"/>
              <w:rPr/>
            </w:pPr>
            <w:r>
              <w:rPr/>
              <w:t xml:space="preserve">Ocena ciągła </w:t>
            </w:r>
          </w:p>
        </w:tc>
      </w:tr>
    </w:tbl>
    <w:p>
      <w:pPr>
        <w:pStyle w:val="Normal"/>
        <w:ind w:left="266" w:right="461" w:hanging="10"/>
        <w:rPr/>
      </w:pPr>
      <w:r>
        <w:rPr/>
        <w:t xml:space="preserve">*) dodatkowe pomiary spadków poprzecznych i ukształtowania osi w planie należy wykonać w punktach głównych łuków poziomych. </w:t>
      </w:r>
    </w:p>
    <w:p>
      <w:pPr>
        <w:pStyle w:val="Normal"/>
        <w:spacing w:lineRule="auto" w:line="259" w:before="0" w:after="0"/>
        <w:ind w:left="262" w:right="0" w:hanging="0"/>
        <w:jc w:val="left"/>
        <w:rPr/>
      </w:pPr>
      <w:r>
        <w:rPr/>
      </w:r>
    </w:p>
    <w:p>
      <w:pPr>
        <w:pStyle w:val="Normal"/>
        <w:spacing w:lineRule="auto" w:line="259" w:before="0" w:after="0"/>
        <w:ind w:left="262" w:right="0" w:hanging="0"/>
        <w:jc w:val="left"/>
        <w:rPr/>
      </w:pPr>
      <w:r>
        <w:rPr/>
      </w:r>
    </w:p>
    <w:p>
      <w:pPr>
        <w:pStyle w:val="Normal"/>
        <w:spacing w:lineRule="auto" w:line="259" w:before="0" w:after="41"/>
        <w:ind w:left="262" w:right="0" w:hanging="0"/>
        <w:jc w:val="left"/>
        <w:rPr/>
      </w:pPr>
      <w:r>
        <w:rPr/>
      </w:r>
    </w:p>
    <w:p>
      <w:pPr>
        <w:pStyle w:val="Nagwek3"/>
        <w:spacing w:before="0" w:after="0"/>
        <w:ind w:left="257" w:right="470" w:hanging="10"/>
        <w:rPr/>
      </w:pPr>
      <w:r>
        <w:rPr/>
        <w:t xml:space="preserve">6.9.1. Szerokość warstwy </w:t>
      </w:r>
    </w:p>
    <w:p>
      <w:pPr>
        <w:pStyle w:val="Normal"/>
        <w:spacing w:lineRule="auto" w:line="259" w:before="0" w:after="0"/>
        <w:ind w:left="262" w:right="0" w:hanging="0"/>
        <w:jc w:val="left"/>
        <w:rPr/>
      </w:pPr>
      <w:r>
        <w:rPr/>
      </w:r>
    </w:p>
    <w:p>
      <w:pPr>
        <w:pStyle w:val="Normal"/>
        <w:ind w:left="266" w:right="461" w:hanging="10"/>
        <w:rPr/>
      </w:pPr>
      <w:r>
        <w:rPr/>
        <w:t xml:space="preserve">Szerokość warstwy, nie może się różnić od szerokości projektowanej o więcej niż ± 5 cm. </w:t>
      </w:r>
    </w:p>
    <w:p>
      <w:pPr>
        <w:pStyle w:val="Normal"/>
        <w:spacing w:lineRule="auto" w:line="259" w:before="0" w:after="40"/>
        <w:ind w:left="262" w:right="0" w:hanging="0"/>
        <w:jc w:val="left"/>
        <w:rPr/>
      </w:pPr>
      <w:r>
        <w:rPr/>
      </w:r>
    </w:p>
    <w:p>
      <w:pPr>
        <w:pStyle w:val="Normal"/>
        <w:ind w:left="266" w:right="461" w:hanging="10"/>
        <w:rPr/>
      </w:pPr>
      <w:r>
        <w:rPr>
          <w:b/>
        </w:rPr>
        <w:t xml:space="preserve">6.9.2.  Równość podłużna warstwy </w:t>
      </w:r>
      <w:r>
        <w:rPr/>
        <w:t xml:space="preserve">Do oceny równości podłużnej warstwy wiążącej należy stosować metodę pomiaru planografem lub metodę z wykorzystaniem łaty klina. Wymagana równość podłużna jest określona przez wartości odchyleń równości, które nie mogą być przekroczone w licznie pomiarów stanowiących 95% i 100% liczby wszystkich pomiarów na badanym odcinku. Wymagania dot. równości podłużnej podane są w Dz.U. nr 43 poz. 430 i tablicy 23 </w:t>
      </w:r>
    </w:p>
    <w:p>
      <w:pPr>
        <w:pStyle w:val="Normal"/>
        <w:spacing w:lineRule="auto" w:line="259" w:before="0" w:after="15"/>
        <w:ind w:left="262" w:right="0" w:hanging="0"/>
        <w:jc w:val="left"/>
        <w:rPr/>
      </w:pPr>
      <w:r>
        <w:rPr/>
      </w:r>
    </w:p>
    <w:p>
      <w:pPr>
        <w:pStyle w:val="Normal"/>
        <w:ind w:left="266" w:right="461" w:hanging="10"/>
        <w:rPr/>
      </w:pPr>
      <w:r>
        <w:rPr/>
        <w:t xml:space="preserve">Tablica 23 Wymagania równości podłużnej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9" w:type="dxa"/>
          <w:left w:w="96" w:type="dxa"/>
          <w:bottom w:w="0" w:type="dxa"/>
          <w:right w:w="57" w:type="dxa"/>
        </w:tblCellMar>
        <w:tblLook w:val="04a0"/>
      </w:tblPr>
      <w:tblGrid>
        <w:gridCol w:w="1059"/>
        <w:gridCol w:w="6465"/>
        <w:gridCol w:w="1018"/>
        <w:gridCol w:w="1030"/>
      </w:tblGrid>
      <w:tr>
        <w:trPr>
          <w:trHeight w:val="470" w:hRule="atLeast"/>
        </w:trPr>
        <w:tc>
          <w:tcPr>
            <w:tcW w:w="1059"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Klasa drogi </w:t>
            </w:r>
          </w:p>
        </w:tc>
        <w:tc>
          <w:tcPr>
            <w:tcW w:w="6465"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Element nawierzchni </w:t>
            </w:r>
          </w:p>
        </w:tc>
        <w:tc>
          <w:tcPr>
            <w:tcW w:w="204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center"/>
              <w:rPr/>
            </w:pPr>
            <w:r>
              <w:rPr/>
              <w:t xml:space="preserve">Procent liczby pomiarów </w:t>
            </w:r>
          </w:p>
        </w:tc>
      </w:tr>
      <w:tr>
        <w:trPr>
          <w:trHeight w:val="240" w:hRule="atLeast"/>
        </w:trPr>
        <w:tc>
          <w:tcPr>
            <w:tcW w:w="105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646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10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8" w:hanging="0"/>
              <w:jc w:val="center"/>
              <w:rPr/>
            </w:pPr>
            <w:r>
              <w:rPr/>
              <w:t xml:space="preserve">95% </w:t>
            </w:r>
          </w:p>
        </w:tc>
        <w:tc>
          <w:tcPr>
            <w:tcW w:w="10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1" w:hanging="0"/>
              <w:jc w:val="center"/>
              <w:rPr/>
            </w:pPr>
            <w:r>
              <w:rPr/>
              <w:t xml:space="preserve">100% </w:t>
            </w:r>
          </w:p>
        </w:tc>
      </w:tr>
      <w:tr>
        <w:trPr>
          <w:trHeight w:val="497" w:hRule="atLeast"/>
        </w:trPr>
        <w:tc>
          <w:tcPr>
            <w:tcW w:w="1059"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S, GP </w:t>
            </w:r>
          </w:p>
        </w:tc>
        <w:tc>
          <w:tcPr>
            <w:tcW w:w="64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Pasy ruchu zasadnicze, awaryjne, dodatkowe, włączenia i wyłączenia </w:t>
            </w:r>
          </w:p>
        </w:tc>
        <w:tc>
          <w:tcPr>
            <w:tcW w:w="10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5" w:hanging="0"/>
              <w:jc w:val="center"/>
              <w:rPr/>
            </w:pPr>
            <w:r>
              <w:rPr/>
              <w:t xml:space="preserve">≤ </w:t>
            </w:r>
            <w:r>
              <w:rPr/>
              <w:t xml:space="preserve">7 </w:t>
            </w:r>
          </w:p>
        </w:tc>
        <w:tc>
          <w:tcPr>
            <w:tcW w:w="10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48" w:hanging="0"/>
              <w:jc w:val="center"/>
              <w:rPr/>
            </w:pPr>
            <w:r>
              <w:rPr/>
              <w:t xml:space="preserve">≤ </w:t>
            </w:r>
            <w:r>
              <w:rPr/>
              <w:t xml:space="preserve">8 </w:t>
            </w:r>
          </w:p>
        </w:tc>
      </w:tr>
      <w:tr>
        <w:trPr>
          <w:trHeight w:val="420" w:hRule="atLeast"/>
        </w:trPr>
        <w:tc>
          <w:tcPr>
            <w:tcW w:w="105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64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Jezdnie łącznic, utwardzone pobocza </w:t>
            </w:r>
          </w:p>
        </w:tc>
        <w:tc>
          <w:tcPr>
            <w:tcW w:w="10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5" w:hanging="0"/>
              <w:jc w:val="center"/>
              <w:rPr/>
            </w:pPr>
            <w:r>
              <w:rPr/>
              <w:t xml:space="preserve">≤ </w:t>
            </w:r>
            <w:r>
              <w:rPr/>
              <w:t xml:space="preserve">9 </w:t>
            </w:r>
          </w:p>
        </w:tc>
        <w:tc>
          <w:tcPr>
            <w:tcW w:w="10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52" w:hanging="0"/>
              <w:jc w:val="center"/>
              <w:rPr/>
            </w:pPr>
            <w:r>
              <w:rPr/>
              <w:t xml:space="preserve">≤ </w:t>
            </w:r>
            <w:r>
              <w:rPr/>
              <w:t xml:space="preserve">10 </w:t>
            </w:r>
          </w:p>
        </w:tc>
      </w:tr>
      <w:tr>
        <w:trPr>
          <w:trHeight w:val="571" w:hRule="atLeast"/>
        </w:trPr>
        <w:tc>
          <w:tcPr>
            <w:tcW w:w="10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G, Z </w:t>
            </w:r>
          </w:p>
        </w:tc>
        <w:tc>
          <w:tcPr>
            <w:tcW w:w="64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rPr/>
            </w:pPr>
            <w:r>
              <w:rPr/>
              <w:t xml:space="preserve">Pasy ruchu zasadnicze, dodatkowe, włączenia i wyłączenia, jezdnie łącznic, utwardzone pobocza </w:t>
            </w:r>
          </w:p>
        </w:tc>
        <w:tc>
          <w:tcPr>
            <w:tcW w:w="10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5" w:hanging="0"/>
              <w:jc w:val="center"/>
              <w:rPr/>
            </w:pPr>
            <w:r>
              <w:rPr/>
              <w:t xml:space="preserve">≤ </w:t>
            </w:r>
            <w:r>
              <w:rPr/>
              <w:t xml:space="preserve">9 </w:t>
            </w:r>
          </w:p>
        </w:tc>
        <w:tc>
          <w:tcPr>
            <w:tcW w:w="10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52" w:hanging="0"/>
              <w:jc w:val="center"/>
              <w:rPr/>
            </w:pPr>
            <w:r>
              <w:rPr/>
              <w:t xml:space="preserve">≤ </w:t>
            </w:r>
            <w:r>
              <w:rPr/>
              <w:t xml:space="preserve">10 </w:t>
            </w:r>
          </w:p>
        </w:tc>
      </w:tr>
    </w:tbl>
    <w:p>
      <w:pPr>
        <w:pStyle w:val="Normal"/>
        <w:spacing w:lineRule="auto" w:line="259" w:before="0" w:after="43"/>
        <w:ind w:left="262" w:right="0" w:hanging="0"/>
        <w:jc w:val="left"/>
        <w:rPr/>
      </w:pPr>
      <w:r>
        <w:rPr/>
      </w:r>
    </w:p>
    <w:p>
      <w:pPr>
        <w:pStyle w:val="Nagwek3"/>
        <w:ind w:left="257" w:right="470" w:hanging="10"/>
        <w:rPr/>
      </w:pPr>
      <w:r>
        <w:rPr/>
        <w:t xml:space="preserve">6.9.3. Równość poprzeczna warstwy </w:t>
      </w:r>
    </w:p>
    <w:p>
      <w:pPr>
        <w:pStyle w:val="Normal"/>
        <w:spacing w:lineRule="auto" w:line="259" w:before="0" w:after="20"/>
        <w:ind w:left="982" w:right="0" w:hanging="0"/>
        <w:jc w:val="left"/>
        <w:rPr/>
      </w:pPr>
      <w:r>
        <w:rPr/>
      </w:r>
    </w:p>
    <w:p>
      <w:pPr>
        <w:pStyle w:val="Normal"/>
        <w:ind w:left="256" w:right="461" w:firstLine="708"/>
        <w:rPr/>
      </w:pPr>
      <w:r>
        <w:rPr/>
        <w:t xml:space="preserve">Do oceny równości poprzecznej warstwy ścieralnej nawierzchni dróg wszystkich klas technicznych należy stosować metodę z wykorzystaniem łaty 4-metrowej i klina. Pomiar powinien być wykonywany nie rzadziej niż co 5m, a liczba pomiarów nie może być mniejsza niż 20. Wymagana równość poprzeczna jest określona przez wartości odchyleń równości, które nie mogą być przekroczone w liczbie pomiarów stanowiących 90% i 100% albo 95% i 100% liczby wszystkich pomiarów na badanym odcinku. Odchylenie równości oznacza największą odległość między łatą mierzoną powierzchnią w danym profilu. Wymagania dotyczące równości poprzecznej podane są w Dz.U. nr 43 poz. 430 i tablicy 24. </w:t>
      </w:r>
    </w:p>
    <w:p>
      <w:pPr>
        <w:pStyle w:val="Normal"/>
        <w:spacing w:lineRule="auto" w:line="259" w:before="0" w:after="1"/>
        <w:ind w:left="262" w:right="0" w:hanging="0"/>
        <w:jc w:val="left"/>
        <w:rPr/>
      </w:pPr>
      <w:r>
        <w:rPr/>
      </w:r>
    </w:p>
    <w:p>
      <w:pPr>
        <w:pStyle w:val="Normal"/>
        <w:ind w:left="266" w:right="461" w:hanging="10"/>
        <w:rPr/>
      </w:pPr>
      <w:r>
        <w:rPr/>
        <w:t xml:space="preserve">Tablica 24 Wymagania równości poprzecznej </w:t>
      </w:r>
    </w:p>
    <w:tbl>
      <w:tblPr>
        <w:tblStyle w:val="TableGrid"/>
        <w:tblW w:w="9573" w:type="dxa"/>
        <w:jc w:val="left"/>
        <w:tblInd w:w="1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9" w:type="dxa"/>
          <w:left w:w="96" w:type="dxa"/>
          <w:bottom w:w="0" w:type="dxa"/>
          <w:right w:w="115" w:type="dxa"/>
        </w:tblCellMar>
        <w:tblLook w:val="04a0"/>
      </w:tblPr>
      <w:tblGrid>
        <w:gridCol w:w="1914"/>
        <w:gridCol w:w="4757"/>
        <w:gridCol w:w="1051"/>
        <w:gridCol w:w="922"/>
        <w:gridCol w:w="929"/>
      </w:tblGrid>
      <w:tr>
        <w:trPr>
          <w:trHeight w:val="341" w:hRule="atLeast"/>
        </w:trPr>
        <w:tc>
          <w:tcPr>
            <w:tcW w:w="1914"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Klasa drogi </w:t>
            </w:r>
          </w:p>
          <w:p>
            <w:pPr>
              <w:pStyle w:val="Normal"/>
              <w:spacing w:lineRule="auto" w:line="259" w:before="0" w:after="0"/>
              <w:ind w:left="2" w:right="0" w:hanging="0"/>
              <w:jc w:val="left"/>
              <w:rPr/>
            </w:pPr>
            <w:r>
              <w:rPr/>
            </w:r>
          </w:p>
        </w:tc>
        <w:tc>
          <w:tcPr>
            <w:tcW w:w="4757"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Element nawierzchni </w:t>
            </w:r>
          </w:p>
        </w:tc>
        <w:tc>
          <w:tcPr>
            <w:tcW w:w="2902"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4" w:right="0" w:hanging="0"/>
              <w:jc w:val="center"/>
              <w:rPr/>
            </w:pPr>
            <w:r>
              <w:rPr/>
              <w:t xml:space="preserve">Procent liczby pomiarów </w:t>
            </w:r>
          </w:p>
        </w:tc>
      </w:tr>
      <w:tr>
        <w:trPr>
          <w:trHeight w:val="401" w:hRule="atLeast"/>
        </w:trPr>
        <w:tc>
          <w:tcPr>
            <w:tcW w:w="1914"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4757"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10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4" w:right="0" w:hanging="0"/>
              <w:jc w:val="center"/>
              <w:rPr/>
            </w:pPr>
            <w:r>
              <w:rPr/>
              <w:t xml:space="preserve">90% </w:t>
            </w:r>
          </w:p>
        </w:tc>
        <w:tc>
          <w:tcPr>
            <w:tcW w:w="9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3" w:right="0" w:hanging="0"/>
              <w:jc w:val="center"/>
              <w:rPr/>
            </w:pPr>
            <w:r>
              <w:rPr/>
              <w:t xml:space="preserve">95% </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100" w:right="0" w:hanging="0"/>
              <w:jc w:val="left"/>
              <w:rPr/>
            </w:pPr>
            <w:r>
              <w:rPr/>
              <w:t xml:space="preserve">100% </w:t>
            </w:r>
          </w:p>
        </w:tc>
      </w:tr>
      <w:tr>
        <w:trPr>
          <w:trHeight w:val="470" w:hRule="atLeast"/>
        </w:trPr>
        <w:tc>
          <w:tcPr>
            <w:tcW w:w="1914"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S, GP </w:t>
            </w:r>
          </w:p>
        </w:tc>
        <w:tc>
          <w:tcPr>
            <w:tcW w:w="47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Pasy ruchu zasadnicze, awaryjne, dodatkowe, włączenia i wyłączenia </w:t>
            </w:r>
          </w:p>
        </w:tc>
        <w:tc>
          <w:tcPr>
            <w:tcW w:w="10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7" w:right="0" w:hanging="0"/>
              <w:jc w:val="center"/>
              <w:rPr/>
            </w:pPr>
            <w:r>
              <w:rPr/>
              <w:t xml:space="preserve">≤ </w:t>
            </w:r>
            <w:r>
              <w:rPr/>
              <w:t xml:space="preserve">6 </w:t>
            </w:r>
          </w:p>
        </w:tc>
        <w:tc>
          <w:tcPr>
            <w:tcW w:w="9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8" w:right="0" w:hanging="0"/>
              <w:jc w:val="center"/>
              <w:rPr/>
            </w:pPr>
            <w:r>
              <w:rPr/>
              <w:t xml:space="preserve">- </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7" w:right="0" w:hanging="0"/>
              <w:jc w:val="center"/>
              <w:rPr/>
            </w:pPr>
            <w:r>
              <w:rPr/>
              <w:t xml:space="preserve">≤ </w:t>
            </w:r>
            <w:r>
              <w:rPr/>
              <w:t xml:space="preserve">8 </w:t>
            </w:r>
          </w:p>
        </w:tc>
      </w:tr>
      <w:tr>
        <w:trPr>
          <w:trHeight w:val="610" w:hRule="atLeast"/>
        </w:trPr>
        <w:tc>
          <w:tcPr>
            <w:tcW w:w="1914"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r>
          </w:p>
        </w:tc>
        <w:tc>
          <w:tcPr>
            <w:tcW w:w="47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0" w:right="0" w:hanging="0"/>
              <w:jc w:val="left"/>
              <w:rPr/>
            </w:pPr>
            <w:r>
              <w:rPr/>
              <w:t xml:space="preserve">Jezdnie łącznic, utwardzone pobocza </w:t>
            </w:r>
          </w:p>
        </w:tc>
        <w:tc>
          <w:tcPr>
            <w:tcW w:w="10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8" w:right="0" w:hanging="0"/>
              <w:jc w:val="center"/>
              <w:rPr/>
            </w:pPr>
            <w:r>
              <w:rPr/>
              <w:t xml:space="preserve">- </w:t>
            </w:r>
          </w:p>
        </w:tc>
        <w:tc>
          <w:tcPr>
            <w:tcW w:w="9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6" w:right="0" w:hanging="0"/>
              <w:jc w:val="center"/>
              <w:rPr/>
            </w:pPr>
            <w:r>
              <w:rPr/>
              <w:t xml:space="preserve">≤ </w:t>
            </w:r>
            <w:r>
              <w:rPr/>
              <w:t xml:space="preserve">9 </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7" w:right="0" w:hanging="0"/>
              <w:jc w:val="center"/>
              <w:rPr/>
            </w:pPr>
            <w:r>
              <w:rPr/>
              <w:t xml:space="preserve">≤ </w:t>
            </w:r>
            <w:r>
              <w:rPr/>
              <w:t xml:space="preserve">10 </w:t>
            </w:r>
          </w:p>
        </w:tc>
      </w:tr>
      <w:tr>
        <w:trPr>
          <w:trHeight w:val="471" w:hRule="atLeast"/>
        </w:trPr>
        <w:tc>
          <w:tcPr>
            <w:tcW w:w="19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2" w:right="0" w:hanging="0"/>
              <w:jc w:val="left"/>
              <w:rPr/>
            </w:pPr>
            <w:r>
              <w:rPr/>
              <w:t xml:space="preserve">G, Z, L, D </w:t>
            </w:r>
          </w:p>
        </w:tc>
        <w:tc>
          <w:tcPr>
            <w:tcW w:w="47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tcPr>
          <w:p>
            <w:pPr>
              <w:pStyle w:val="Normal"/>
              <w:spacing w:lineRule="auto" w:line="259" w:before="0" w:after="0"/>
              <w:ind w:left="0" w:right="0" w:hanging="0"/>
              <w:jc w:val="left"/>
              <w:rPr/>
            </w:pPr>
            <w:r>
              <w:rPr/>
              <w:t xml:space="preserve">Pasy ruchu zasadnicze, dodatkowe, włączenia i wyłączenia, jezdnie łącznic, utwardzone pobocza </w:t>
            </w:r>
          </w:p>
        </w:tc>
        <w:tc>
          <w:tcPr>
            <w:tcW w:w="10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7" w:right="0" w:hanging="0"/>
              <w:jc w:val="center"/>
              <w:rPr/>
            </w:pPr>
            <w:r>
              <w:rPr/>
              <w:t xml:space="preserve">≤ </w:t>
            </w:r>
            <w:r>
              <w:rPr/>
              <w:t xml:space="preserve">9 </w:t>
            </w:r>
          </w:p>
        </w:tc>
        <w:tc>
          <w:tcPr>
            <w:tcW w:w="9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8" w:right="0" w:hanging="0"/>
              <w:jc w:val="center"/>
              <w:rPr/>
            </w:pPr>
            <w:r>
              <w:rPr/>
              <w:t xml:space="preserve">- </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6" w:type="dxa"/>
            </w:tcMar>
            <w:vAlign w:val="center"/>
          </w:tcPr>
          <w:p>
            <w:pPr>
              <w:pStyle w:val="Normal"/>
              <w:spacing w:lineRule="auto" w:line="259" w:before="0" w:after="0"/>
              <w:ind w:left="7" w:right="0" w:hanging="0"/>
              <w:jc w:val="center"/>
              <w:rPr/>
            </w:pPr>
            <w:r>
              <w:rPr/>
              <w:t xml:space="preserve">≤ </w:t>
            </w:r>
            <w:r>
              <w:rPr/>
              <w:t xml:space="preserve">12 </w:t>
            </w:r>
          </w:p>
        </w:tc>
      </w:tr>
    </w:tbl>
    <w:p>
      <w:pPr>
        <w:pStyle w:val="Normal"/>
        <w:spacing w:lineRule="auto" w:line="259" w:before="0" w:after="14"/>
        <w:ind w:left="262" w:right="0" w:hanging="0"/>
        <w:jc w:val="left"/>
        <w:rPr/>
      </w:pPr>
      <w:r>
        <w:rPr/>
      </w:r>
    </w:p>
    <w:p>
      <w:pPr>
        <w:pStyle w:val="Normal"/>
        <w:spacing w:lineRule="auto" w:line="259" w:before="0" w:after="14"/>
        <w:ind w:left="10" w:right="456" w:hanging="10"/>
        <w:jc w:val="right"/>
        <w:rPr/>
      </w:pPr>
      <w:r>
        <w:rPr/>
        <w:t>Wymagania dotyczące równości powinny być spełnione w trakcie wykonywania robót i po ich za-</w:t>
      </w:r>
    </w:p>
    <w:p>
      <w:pPr>
        <w:pStyle w:val="Normal"/>
        <w:ind w:left="266" w:right="461" w:hanging="10"/>
        <w:rPr/>
      </w:pPr>
      <w:r>
        <w:rPr/>
        <w:t xml:space="preserve">kończeniu. </w:t>
      </w:r>
    </w:p>
    <w:p>
      <w:pPr>
        <w:pStyle w:val="Normal"/>
        <w:spacing w:lineRule="auto" w:line="259" w:before="0" w:after="12"/>
        <w:ind w:left="262" w:right="0" w:hanging="0"/>
        <w:jc w:val="left"/>
        <w:rPr/>
      </w:pPr>
      <w:r>
        <w:rPr/>
      </w:r>
    </w:p>
    <w:p>
      <w:pPr>
        <w:pStyle w:val="Nagwek3"/>
        <w:ind w:left="257" w:right="470" w:hanging="10"/>
        <w:rPr/>
      </w:pPr>
      <w:r>
        <w:rPr/>
        <w:t xml:space="preserve">6.9.4. Spadki poprzeczne warstwy </w:t>
      </w:r>
    </w:p>
    <w:p>
      <w:pPr>
        <w:pStyle w:val="Normal"/>
        <w:ind w:left="256" w:right="461" w:firstLine="708"/>
        <w:rPr/>
      </w:pPr>
      <w:r>
        <w:rPr/>
        <w:t xml:space="preserve">Sprawdzenie polega na przyłożeniu łaty i pomiar prześwitu klinem lub pomiar profilografem laserowym. </w:t>
      </w:r>
    </w:p>
    <w:p>
      <w:pPr>
        <w:pStyle w:val="Normal"/>
        <w:ind w:left="256" w:right="461" w:firstLine="708"/>
        <w:rPr/>
      </w:pPr>
      <w:r>
        <w:rPr/>
        <w:t xml:space="preserve">Spadki poprzeczne warstwy na odcinkach prostych i na łukach powinny być zgodne z spadkami poprzecznymi z tolerancją ± 0,5%. Wymaga się, aby co najmniej 95% wykonanych pomiarów nie przekraczało dopuszczalnych odchyleń. </w:t>
      </w:r>
    </w:p>
    <w:p>
      <w:pPr>
        <w:pStyle w:val="Normal"/>
        <w:spacing w:lineRule="auto" w:line="259" w:before="0" w:after="34"/>
        <w:ind w:left="262" w:right="0" w:hanging="0"/>
        <w:jc w:val="left"/>
        <w:rPr/>
      </w:pPr>
      <w:r>
        <w:rPr/>
      </w:r>
    </w:p>
    <w:p>
      <w:pPr>
        <w:pStyle w:val="Normal"/>
        <w:spacing w:lineRule="auto" w:line="259" w:before="0" w:after="21"/>
        <w:ind w:left="257" w:right="0" w:hanging="10"/>
        <w:jc w:val="left"/>
        <w:rPr/>
      </w:pPr>
      <w:r>
        <w:rPr>
          <w:b/>
        </w:rPr>
        <w:t xml:space="preserve">6.9.5. Ukształtowanie osi w planie </w:t>
      </w:r>
    </w:p>
    <w:p>
      <w:pPr>
        <w:pStyle w:val="Normal"/>
        <w:ind w:left="980" w:right="461" w:hanging="10"/>
        <w:rPr/>
      </w:pPr>
      <w:r>
        <w:rPr/>
        <w:t xml:space="preserve">Ukształtowanie nie powinno różnić się od dokumentacji projektowej o więcej niż ± 5 cm. </w:t>
      </w:r>
    </w:p>
    <w:p>
      <w:pPr>
        <w:pStyle w:val="Normal"/>
        <w:spacing w:lineRule="auto" w:line="259" w:before="0" w:after="44"/>
        <w:ind w:left="262" w:right="0" w:hanging="0"/>
        <w:jc w:val="left"/>
        <w:rPr/>
      </w:pPr>
      <w:r>
        <w:rPr/>
      </w:r>
    </w:p>
    <w:p>
      <w:pPr>
        <w:pStyle w:val="Nagwek3"/>
        <w:ind w:left="257" w:right="470" w:hanging="10"/>
        <w:rPr/>
      </w:pPr>
      <w:r>
        <w:rPr/>
        <w:t xml:space="preserve">6.9.6. Rzędne wysokościowe warstwy </w:t>
      </w:r>
    </w:p>
    <w:p>
      <w:pPr>
        <w:pStyle w:val="Normal"/>
        <w:ind w:left="256" w:right="461" w:firstLine="708"/>
        <w:rPr/>
      </w:pPr>
      <w:r>
        <w:rPr/>
        <w:t xml:space="preserve">Rzędne wysokościowe, mierzone co 10 m na prostych i co 10 m na odcinkach krzywoliniowych, powinny być zgodne z dokumentacją projektową z dopuszczalną tolerancją ± 1 cm, przy czym co najmniej 95% wykonanych pomiarów nie może przekraczać przedziału dopuszczalnych odchyleń. </w:t>
      </w:r>
    </w:p>
    <w:p>
      <w:pPr>
        <w:pStyle w:val="Normal"/>
        <w:ind w:left="266" w:right="461" w:hanging="10"/>
        <w:rPr/>
      </w:pPr>
      <w:r>
        <w:rPr/>
        <w:t xml:space="preserve">Przed przystąpieniem do robót Wykonawca przedstawi schemat punktów pomiarowych do akceptacji. </w:t>
      </w:r>
    </w:p>
    <w:p>
      <w:pPr>
        <w:pStyle w:val="Normal"/>
        <w:spacing w:lineRule="auto" w:line="259" w:before="0" w:after="29"/>
        <w:ind w:left="262" w:right="0" w:hanging="0"/>
        <w:jc w:val="left"/>
        <w:rPr/>
      </w:pPr>
      <w:r>
        <w:rPr/>
      </w:r>
    </w:p>
    <w:p>
      <w:pPr>
        <w:pStyle w:val="Normal"/>
        <w:ind w:left="964" w:right="1544" w:hanging="708"/>
        <w:rPr/>
      </w:pPr>
      <w:r>
        <w:rPr>
          <w:b/>
        </w:rPr>
        <w:t xml:space="preserve">6.9.7. Złącza podłużne i poprzeczne </w:t>
      </w:r>
      <w:r>
        <w:rPr/>
        <w:t xml:space="preserve">Złącza powinny być równe i związane. Należy stosować wymagania zawarte w WT-2. </w:t>
      </w:r>
    </w:p>
    <w:p>
      <w:pPr>
        <w:pStyle w:val="Normal"/>
        <w:spacing w:lineRule="auto" w:line="295" w:before="0" w:after="0"/>
        <w:ind w:left="247" w:right="271" w:firstLine="708"/>
        <w:jc w:val="left"/>
        <w:rPr/>
      </w:pPr>
      <w:r>
        <w:rPr/>
        <w:t xml:space="preserve">Złącza podłużne i poprzeczne, sprawdzone wizualnie, powinny być równe i związane, wykonane w linii prostej, równolegle lub prostopadle do osi drogi. Przylegające warstwy powinny być w jednym poziomie. </w:t>
      </w:r>
    </w:p>
    <w:p>
      <w:pPr>
        <w:pStyle w:val="Normal"/>
        <w:ind w:left="256" w:right="461" w:firstLine="708"/>
        <w:rPr/>
      </w:pPr>
      <w:r>
        <w:rPr/>
        <w:t xml:space="preserve">Złącza podłużne w poszczególnych warstwach powinny być przesunięte względem siebie, co najmniej o 15 cm; złącza poprzeczne, o co najmniej 1 m. </w:t>
      </w:r>
    </w:p>
    <w:p>
      <w:pPr>
        <w:pStyle w:val="Normal"/>
        <w:spacing w:lineRule="auto" w:line="259" w:before="0" w:after="40"/>
        <w:ind w:left="970" w:right="0" w:hanging="0"/>
        <w:jc w:val="left"/>
        <w:rPr/>
      </w:pPr>
      <w:r>
        <w:rPr/>
      </w:r>
    </w:p>
    <w:p>
      <w:pPr>
        <w:pStyle w:val="Nagwek3"/>
        <w:ind w:left="257" w:right="470" w:hanging="10"/>
        <w:rPr/>
      </w:pPr>
      <w:r>
        <w:rPr/>
        <w:t xml:space="preserve">6.9.8. Wygląd warstwy </w:t>
      </w:r>
    </w:p>
    <w:p>
      <w:pPr>
        <w:pStyle w:val="Normal"/>
        <w:ind w:left="256" w:right="461" w:firstLine="708"/>
        <w:rPr/>
      </w:pPr>
      <w:r>
        <w:rPr/>
        <w:t xml:space="preserve">Wygląd warstwy z betonu asfaltowego powinien mieć jednolitą teksturę, bez miejsc przeasfaltowanych, porowatych, łuszczących się i spękanych. </w:t>
      </w:r>
    </w:p>
    <w:p>
      <w:pPr>
        <w:pStyle w:val="Normal"/>
        <w:spacing w:lineRule="auto" w:line="259" w:before="0" w:after="11"/>
        <w:ind w:left="970" w:right="0" w:hanging="0"/>
        <w:jc w:val="left"/>
        <w:rPr/>
      </w:pPr>
      <w:r>
        <w:rPr/>
      </w:r>
    </w:p>
    <w:p>
      <w:pPr>
        <w:pStyle w:val="Nagwek1"/>
        <w:tabs>
          <w:tab w:val="center" w:pos="344" w:leader="none"/>
          <w:tab w:val="center" w:pos="1474" w:leader="none"/>
        </w:tabs>
        <w:ind w:left="0" w:right="470" w:hanging="0"/>
        <w:rPr/>
      </w:pPr>
      <w:r>
        <w:rPr>
          <w:rFonts w:eastAsia="Calibri" w:cs="Calibri" w:ascii="Calibri" w:hAnsi="Calibri"/>
          <w:b w:val="false"/>
          <w:sz w:val="22"/>
        </w:rPr>
        <w:tab/>
      </w:r>
      <w:r>
        <w:rPr/>
        <w:t xml:space="preserve">7. </w:t>
        <w:tab/>
        <w:t xml:space="preserve">OBMIAR ROBÓT </w:t>
      </w:r>
    </w:p>
    <w:p>
      <w:pPr>
        <w:pStyle w:val="Normal"/>
        <w:ind w:left="256" w:right="461" w:firstLine="427"/>
        <w:rPr/>
      </w:pPr>
      <w:r>
        <w:rPr/>
        <w:t xml:space="preserve">Kontrakt ryczałtowy- jednostką obmiaru jest wykonana i odebrana protokołem Odbioru Końcowego jednostka określona w SST.  </w:t>
      </w:r>
    </w:p>
    <w:p>
      <w:pPr>
        <w:pStyle w:val="Normal"/>
        <w:ind w:left="699" w:right="461" w:hanging="10"/>
        <w:rPr/>
      </w:pPr>
      <w:r>
        <w:rPr/>
        <w:t xml:space="preserve">Jednostką obmiarową jest m2 (metr kwadratowy) wykonanej warstwy wiążącej. </w:t>
      </w:r>
    </w:p>
    <w:p>
      <w:pPr>
        <w:pStyle w:val="Normal"/>
        <w:spacing w:lineRule="auto" w:line="259" w:before="0" w:after="11"/>
        <w:ind w:left="828" w:right="0" w:hanging="0"/>
        <w:jc w:val="left"/>
        <w:rPr/>
      </w:pPr>
      <w:r>
        <w:rPr/>
      </w:r>
    </w:p>
    <w:p>
      <w:pPr>
        <w:pStyle w:val="Nagwek1"/>
        <w:tabs>
          <w:tab w:val="center" w:pos="344" w:leader="none"/>
          <w:tab w:val="center" w:pos="1469" w:leader="none"/>
        </w:tabs>
        <w:ind w:left="0" w:right="470" w:hanging="0"/>
        <w:rPr/>
      </w:pPr>
      <w:r>
        <w:rPr>
          <w:rFonts w:eastAsia="Calibri" w:cs="Calibri" w:ascii="Calibri" w:hAnsi="Calibri"/>
          <w:b w:val="false"/>
          <w:sz w:val="22"/>
        </w:rPr>
        <w:tab/>
      </w:r>
      <w:r>
        <w:rPr/>
        <w:t xml:space="preserve">8. </w:t>
        <w:tab/>
        <w:t xml:space="preserve">ODBIÓR ROBÓT </w:t>
      </w:r>
    </w:p>
    <w:p>
      <w:pPr>
        <w:pStyle w:val="Normal"/>
        <w:ind w:left="699" w:right="461" w:hanging="10"/>
        <w:rPr/>
      </w:pPr>
      <w:r>
        <w:rPr/>
        <w:t xml:space="preserve">Ogólne zasady odbioru robót podano w SST D-00.00.00 „Wymagania ogólne” pkt 8. </w:t>
      </w:r>
    </w:p>
    <w:p>
      <w:pPr>
        <w:pStyle w:val="Normal"/>
        <w:spacing w:lineRule="auto" w:line="259" w:before="0" w:after="14"/>
        <w:ind w:left="10" w:right="456" w:hanging="10"/>
        <w:jc w:val="right"/>
        <w:rPr/>
      </w:pPr>
      <w:r>
        <w:rPr/>
        <w:t xml:space="preserve">Roboty uznaje się za wykonane zgodnie z dokumentacją projektową, SST i wymaganiami Inżyniera, </w:t>
      </w:r>
    </w:p>
    <w:p>
      <w:pPr>
        <w:pStyle w:val="Normal"/>
        <w:ind w:left="266" w:right="461" w:hanging="10"/>
        <w:rPr/>
      </w:pPr>
      <w:r>
        <w:rPr/>
        <w:t xml:space="preserve">jeżeli wszystkie pomiary i badania z zachowaniem tolerancji według pktu 6 dały wyniki pozytywne. </w:t>
      </w:r>
    </w:p>
    <w:p>
      <w:pPr>
        <w:pStyle w:val="Normal"/>
        <w:spacing w:lineRule="auto" w:line="259" w:before="0" w:after="12"/>
        <w:ind w:left="262" w:right="0" w:hanging="0"/>
        <w:jc w:val="left"/>
        <w:rPr/>
      </w:pPr>
      <w:r>
        <w:rPr/>
      </w:r>
    </w:p>
    <w:p>
      <w:pPr>
        <w:pStyle w:val="Nagwek1"/>
        <w:tabs>
          <w:tab w:val="center" w:pos="344" w:leader="none"/>
          <w:tab w:val="center" w:pos="1869" w:leader="none"/>
        </w:tabs>
        <w:ind w:left="0" w:right="470" w:hanging="0"/>
        <w:rPr/>
      </w:pPr>
      <w:r>
        <w:rPr>
          <w:rFonts w:eastAsia="Calibri" w:cs="Calibri" w:ascii="Calibri" w:hAnsi="Calibri"/>
          <w:b w:val="false"/>
          <w:sz w:val="22"/>
        </w:rPr>
        <w:tab/>
      </w:r>
      <w:r>
        <w:rPr/>
        <w:t xml:space="preserve">9. </w:t>
        <w:tab/>
        <w:t xml:space="preserve">PODSTAWA PŁATNOŚCI </w:t>
      </w:r>
    </w:p>
    <w:p>
      <w:pPr>
        <w:pStyle w:val="Normal"/>
        <w:spacing w:before="0" w:after="244"/>
        <w:ind w:left="256" w:right="461" w:firstLine="427"/>
        <w:rPr/>
      </w:pPr>
      <w:r>
        <w:rPr/>
        <w:t xml:space="preserve">Wynagrodzenia ryczałtowe: zasady płatności podano w umowie między Zamawiającym, a Wykonawcą. </w:t>
      </w:r>
    </w:p>
    <w:p>
      <w:pPr>
        <w:pStyle w:val="Normal"/>
        <w:spacing w:lineRule="auto" w:line="259" w:before="0" w:after="104"/>
        <w:ind w:left="262" w:right="0" w:hanging="0"/>
        <w:jc w:val="left"/>
        <w:rPr/>
      </w:pPr>
      <w:r>
        <w:rPr/>
      </w:r>
    </w:p>
    <w:p>
      <w:pPr>
        <w:pStyle w:val="Nagwek1"/>
        <w:spacing w:before="0" w:after="225"/>
        <w:ind w:left="257" w:right="470" w:hanging="10"/>
        <w:rPr/>
      </w:pPr>
      <w:r>
        <w:rPr/>
        <w:t xml:space="preserve">10. PRZEPISY ZWIĄZANE </w:t>
      </w:r>
    </w:p>
    <w:p>
      <w:pPr>
        <w:pStyle w:val="Normal"/>
        <w:spacing w:lineRule="auto" w:line="259" w:before="0" w:after="91"/>
        <w:ind w:left="262" w:right="0" w:hanging="0"/>
        <w:jc w:val="left"/>
        <w:rPr/>
      </w:pPr>
      <w:r>
        <w:rPr/>
      </w:r>
    </w:p>
    <w:p>
      <w:pPr>
        <w:pStyle w:val="Normal"/>
        <w:spacing w:lineRule="auto" w:line="259" w:before="0" w:after="21"/>
        <w:ind w:left="257" w:right="0" w:hanging="10"/>
        <w:jc w:val="left"/>
        <w:rPr/>
      </w:pPr>
      <w:r>
        <w:rPr>
          <w:b/>
        </w:rPr>
        <w:t xml:space="preserve">10.4. Specyfikacje Techniczne Wykonania i Odbioru Robót Budowlanych </w:t>
      </w:r>
    </w:p>
    <w:p>
      <w:pPr>
        <w:pStyle w:val="Normal"/>
        <w:tabs>
          <w:tab w:val="center" w:pos="344" w:leader="none"/>
          <w:tab w:val="center" w:pos="1250" w:leader="none"/>
          <w:tab w:val="center" w:pos="3482" w:leader="none"/>
        </w:tabs>
        <w:ind w:left="0" w:right="0" w:hanging="0"/>
        <w:jc w:val="left"/>
        <w:rPr/>
      </w:pPr>
      <w:r>
        <w:rPr>
          <w:rFonts w:eastAsia="Calibri" w:cs="Calibri" w:ascii="Calibri" w:hAnsi="Calibri"/>
          <w:sz w:val="22"/>
        </w:rPr>
        <w:tab/>
      </w:r>
      <w:r>
        <w:rPr/>
        <w:t xml:space="preserve">1. </w:t>
        <w:tab/>
        <w:t xml:space="preserve">D-00.00.00 </w:t>
        <w:tab/>
        <w:t xml:space="preserve"> Wymagania ogólne </w:t>
      </w:r>
    </w:p>
    <w:p>
      <w:pPr>
        <w:pStyle w:val="Normal"/>
        <w:spacing w:lineRule="auto" w:line="259" w:before="0" w:after="21"/>
        <w:ind w:left="262" w:right="0" w:hanging="0"/>
        <w:jc w:val="left"/>
        <w:rPr/>
      </w:pPr>
      <w:r>
        <w:rPr/>
        <w:tab/>
        <w:tab/>
      </w:r>
    </w:p>
    <w:p>
      <w:pPr>
        <w:pStyle w:val="Nagwek2"/>
        <w:ind w:left="257" w:right="470" w:hanging="10"/>
        <w:rPr/>
      </w:pPr>
      <w:r>
        <w:rPr/>
        <w:t xml:space="preserve">10.5. Normy </w:t>
      </w:r>
    </w:p>
    <w:p>
      <w:pPr>
        <w:pStyle w:val="Normal"/>
        <w:spacing w:before="0" w:after="27"/>
        <w:ind w:left="266" w:right="461" w:hanging="10"/>
        <w:rPr/>
      </w:pPr>
      <w:r>
        <w:rPr/>
        <w:t xml:space="preserve">(Zestawienie zawiera dodatkowo normy PN-EN związane z badaniami materiałów występujących w niniejszej SST) </w:t>
      </w:r>
    </w:p>
    <w:p>
      <w:pPr>
        <w:pStyle w:val="Normal"/>
        <w:numPr>
          <w:ilvl w:val="0"/>
          <w:numId w:val="10"/>
        </w:numPr>
        <w:ind w:left="789" w:right="461" w:hanging="533"/>
        <w:rPr/>
      </w:pPr>
      <w:r>
        <w:rPr/>
        <w:t xml:space="preserve">PN-EN 196-21 Metody badania cementu – Oznaczanie zawartości chlorków, dwutlenku węgla i alkaliów w cemencie </w:t>
      </w:r>
    </w:p>
    <w:p>
      <w:pPr>
        <w:pStyle w:val="Normal"/>
        <w:numPr>
          <w:ilvl w:val="0"/>
          <w:numId w:val="10"/>
        </w:numPr>
        <w:spacing w:before="0" w:after="33"/>
        <w:ind w:left="789" w:right="461" w:hanging="533"/>
        <w:rPr/>
      </w:pPr>
      <w:r>
        <w:rPr/>
        <w:t xml:space="preserve">PN-EN 459-2 </w:t>
        <w:tab/>
        <w:t xml:space="preserve">Wapno budowlane – Część 2: Metody badań </w:t>
      </w:r>
    </w:p>
    <w:p>
      <w:pPr>
        <w:pStyle w:val="Normal"/>
        <w:numPr>
          <w:ilvl w:val="0"/>
          <w:numId w:val="10"/>
        </w:numPr>
        <w:spacing w:before="0" w:after="30"/>
        <w:ind w:left="789" w:right="461" w:hanging="533"/>
        <w:rPr/>
      </w:pPr>
      <w:r>
        <w:rPr/>
        <w:t xml:space="preserve">PN-EN 932-3 Badania podstawowych właściwości kruszyw – Procedura i terminologia uproszczonego opisu petrograficznego </w:t>
      </w:r>
    </w:p>
    <w:p>
      <w:pPr>
        <w:pStyle w:val="Normal"/>
        <w:numPr>
          <w:ilvl w:val="0"/>
          <w:numId w:val="10"/>
        </w:numPr>
        <w:spacing w:before="0" w:after="35"/>
        <w:ind w:left="789" w:right="461" w:hanging="533"/>
        <w:rPr/>
      </w:pPr>
      <w:r>
        <w:rPr/>
        <w:t xml:space="preserve">PN-EN 933-1 Badania geometrycznych właściwości kruszyw – Oznaczanie składu ziarnowego – Metoda przesiewania </w:t>
      </w:r>
    </w:p>
    <w:p>
      <w:pPr>
        <w:pStyle w:val="Normal"/>
        <w:numPr>
          <w:ilvl w:val="0"/>
          <w:numId w:val="10"/>
        </w:numPr>
        <w:spacing w:before="0" w:after="36"/>
        <w:ind w:left="789" w:right="461" w:hanging="533"/>
        <w:rPr/>
      </w:pPr>
      <w:r>
        <w:rPr/>
        <w:t xml:space="preserve">PN-EN 933-3 Badania geometrycznych właściwości kruszyw – Oznaczanie kształtu ziaren za pomocą wskaźnika płaskości </w:t>
      </w:r>
    </w:p>
    <w:p>
      <w:pPr>
        <w:pStyle w:val="Normal"/>
        <w:numPr>
          <w:ilvl w:val="0"/>
          <w:numId w:val="10"/>
        </w:numPr>
        <w:spacing w:before="0" w:after="38"/>
        <w:ind w:left="789" w:right="461" w:hanging="533"/>
        <w:rPr/>
      </w:pPr>
      <w:r>
        <w:rPr/>
        <w:t xml:space="preserve">PN-EN 933-4 Badania geometrycznych właściwości kruszyw – Część 4: Oznaczanie kształtu ziaren – Wskaźnik kształtu </w:t>
      </w:r>
    </w:p>
    <w:p>
      <w:pPr>
        <w:pStyle w:val="Normal"/>
        <w:numPr>
          <w:ilvl w:val="0"/>
          <w:numId w:val="10"/>
        </w:numPr>
        <w:spacing w:before="0" w:after="32"/>
        <w:ind w:left="789" w:right="461" w:hanging="533"/>
        <w:rPr/>
      </w:pPr>
      <w:r>
        <w:rPr/>
        <w:t xml:space="preserve">PN-EN 933-5 Badania geometrycznych właściwości kruszyw – Oznaczanie procentowej zawartości ziaren o powierzchniach powstałych w wyniku przekruszenia lub łamania kruszyw grubych </w:t>
      </w:r>
    </w:p>
    <w:p>
      <w:pPr>
        <w:pStyle w:val="Normal"/>
        <w:numPr>
          <w:ilvl w:val="0"/>
          <w:numId w:val="10"/>
        </w:numPr>
        <w:spacing w:before="0" w:after="38"/>
        <w:ind w:left="789" w:right="461" w:hanging="533"/>
        <w:rPr/>
      </w:pPr>
      <w:r>
        <w:rPr/>
        <w:t xml:space="preserve">PN-EN 933-6 Badania geometrycznych właściwości kruszyw – Część 6: Ocena właściwości powierzchni – Wskaźnik przepływu kruszywa </w:t>
      </w:r>
    </w:p>
    <w:p>
      <w:pPr>
        <w:pStyle w:val="Normal"/>
        <w:numPr>
          <w:ilvl w:val="0"/>
          <w:numId w:val="10"/>
        </w:numPr>
        <w:ind w:left="789" w:right="461" w:hanging="533"/>
        <w:rPr/>
      </w:pPr>
      <w:r>
        <w:rPr/>
        <w:t xml:space="preserve">PN-EN 933-9 </w:t>
        <w:tab/>
        <w:t>Badania geometrycznych właściwości kruszyw – Ocena zawartości drob-</w:t>
      </w:r>
    </w:p>
    <w:p>
      <w:pPr>
        <w:pStyle w:val="Normal"/>
        <w:spacing w:lineRule="auto" w:line="259" w:before="0" w:after="44"/>
        <w:ind w:left="10" w:right="628" w:hanging="10"/>
        <w:jc w:val="center"/>
        <w:rPr/>
      </w:pPr>
      <w:r>
        <w:rPr/>
        <w:t xml:space="preserve">nych cząstek – Badania błękitem metylenowym </w:t>
      </w:r>
    </w:p>
    <w:p>
      <w:pPr>
        <w:pStyle w:val="Normal"/>
        <w:numPr>
          <w:ilvl w:val="0"/>
          <w:numId w:val="10"/>
        </w:numPr>
        <w:spacing w:lineRule="auto" w:line="295" w:before="0" w:after="0"/>
        <w:ind w:left="789" w:right="461" w:hanging="533"/>
        <w:rPr/>
      </w:pPr>
      <w:r>
        <w:rPr/>
        <w:t xml:space="preserve">PN-EN 933-10 </w:t>
        <w:tab/>
        <w:t xml:space="preserve">Badania geometrycznych właściwości kruszyw – Część 10: Ocena zawartości drobnych cząstek – Uziarnienie wypełniaczy (przesiewanie w strumieniu powietrza) </w:t>
      </w:r>
    </w:p>
    <w:p>
      <w:pPr>
        <w:pStyle w:val="Normal"/>
        <w:numPr>
          <w:ilvl w:val="0"/>
          <w:numId w:val="10"/>
        </w:numPr>
        <w:ind w:left="789" w:right="461" w:hanging="533"/>
        <w:rPr/>
      </w:pPr>
      <w:r>
        <w:rPr/>
        <w:t xml:space="preserve">PN-EN 1097-2 Badania mechanicznych i fizycznych właściwości kruszyw – Metody oznaczania odporności na rozdrabnianie </w:t>
      </w:r>
    </w:p>
    <w:p>
      <w:pPr>
        <w:pStyle w:val="Normal"/>
        <w:numPr>
          <w:ilvl w:val="0"/>
          <w:numId w:val="10"/>
        </w:numPr>
        <w:spacing w:before="0" w:after="36"/>
        <w:ind w:left="789" w:right="461" w:hanging="533"/>
        <w:rPr/>
      </w:pPr>
      <w:r>
        <w:rPr/>
        <w:t xml:space="preserve">PN-EN 1097-3 Badania mechanicznych i fizycznych właściwości kruszyw – Oznaczanie gęstości nasypowej i jamistości </w:t>
      </w:r>
    </w:p>
    <w:p>
      <w:pPr>
        <w:pStyle w:val="Normal"/>
        <w:numPr>
          <w:ilvl w:val="0"/>
          <w:numId w:val="10"/>
        </w:numPr>
        <w:ind w:left="789" w:right="461" w:hanging="533"/>
        <w:rPr/>
      </w:pPr>
      <w:r>
        <w:rPr/>
        <w:t xml:space="preserve">PN-EN 1097-4 Badania mechanicznych i fizycznych właściwości kruszyw – Część 4: Oznaczanie pustych przestrzeni suchego, zagęszczonego wypełniacza </w:t>
      </w:r>
    </w:p>
    <w:p>
      <w:pPr>
        <w:pStyle w:val="Normal"/>
        <w:numPr>
          <w:ilvl w:val="0"/>
          <w:numId w:val="10"/>
        </w:numPr>
        <w:spacing w:before="0" w:after="43"/>
        <w:ind w:left="789" w:right="461" w:hanging="533"/>
        <w:rPr/>
      </w:pPr>
      <w:r>
        <w:rPr/>
        <w:t xml:space="preserve">PN-EN 1097-5 </w:t>
        <w:tab/>
        <w:t xml:space="preserve">Badania mechanicznych i fizycznych właściwości kruszyw – Część 5: </w:t>
      </w:r>
    </w:p>
    <w:p>
      <w:pPr>
        <w:pStyle w:val="Normal"/>
        <w:spacing w:before="0" w:after="26"/>
        <w:ind w:left="2648" w:right="461" w:hanging="10"/>
        <w:rPr/>
      </w:pPr>
      <w:r>
        <w:rPr/>
        <w:t xml:space="preserve">Oznaczanie zawartości wody przez suszenie w suszarce z wentylacją </w:t>
      </w:r>
    </w:p>
    <w:p>
      <w:pPr>
        <w:pStyle w:val="Normal"/>
        <w:numPr>
          <w:ilvl w:val="0"/>
          <w:numId w:val="10"/>
        </w:numPr>
        <w:spacing w:before="0" w:after="49"/>
        <w:ind w:left="789" w:right="461" w:hanging="533"/>
        <w:rPr/>
      </w:pPr>
      <w:r>
        <w:rPr/>
        <w:t xml:space="preserve">PN-EN 1097-6 </w:t>
        <w:tab/>
        <w:t xml:space="preserve">Badania mechanicznych i fizycznych właściwości kruszyw –Część 6: </w:t>
      </w:r>
    </w:p>
    <w:p>
      <w:pPr>
        <w:pStyle w:val="Normal"/>
        <w:spacing w:lineRule="auto" w:line="259" w:before="0" w:after="36"/>
        <w:ind w:left="10" w:right="1045" w:hanging="10"/>
        <w:jc w:val="center"/>
        <w:rPr/>
      </w:pPr>
      <w:r>
        <w:rPr/>
        <w:t xml:space="preserve">Oznaczanie gęstości ziaren i nasiąkliwości </w:t>
      </w:r>
    </w:p>
    <w:p>
      <w:pPr>
        <w:pStyle w:val="Normal"/>
        <w:numPr>
          <w:ilvl w:val="0"/>
          <w:numId w:val="10"/>
        </w:numPr>
        <w:ind w:left="789" w:right="461" w:hanging="533"/>
        <w:rPr/>
      </w:pPr>
      <w:r>
        <w:rPr/>
        <w:t xml:space="preserve">PN-EN 1097-7 Badania mechanicznych i fizycznych właściwości kruszyw – Część 7: Oznaczanie gęstości wypełniacza – Metoda piknometryczna </w:t>
      </w:r>
    </w:p>
    <w:p>
      <w:pPr>
        <w:pStyle w:val="Normal"/>
        <w:numPr>
          <w:ilvl w:val="0"/>
          <w:numId w:val="10"/>
        </w:numPr>
        <w:spacing w:before="0" w:after="49"/>
        <w:ind w:left="789" w:right="461" w:hanging="533"/>
        <w:rPr/>
      </w:pPr>
      <w:r>
        <w:rPr/>
        <w:t xml:space="preserve">PN-EN 1097-8 </w:t>
        <w:tab/>
        <w:t xml:space="preserve">Badania mechanicznych i fizycznych właściwości kruszyw – Część 8: </w:t>
      </w:r>
    </w:p>
    <w:p>
      <w:pPr>
        <w:pStyle w:val="Normal"/>
        <w:spacing w:before="0" w:after="35"/>
        <w:ind w:left="2648" w:right="461" w:hanging="10"/>
        <w:rPr/>
      </w:pPr>
      <w:r>
        <w:rPr/>
        <w:t xml:space="preserve">Oznaczanie polerowalności kamienia </w:t>
      </w:r>
    </w:p>
    <w:p>
      <w:pPr>
        <w:pStyle w:val="Normal"/>
        <w:numPr>
          <w:ilvl w:val="0"/>
          <w:numId w:val="10"/>
        </w:numPr>
        <w:spacing w:before="0" w:after="38"/>
        <w:ind w:left="789" w:right="461" w:hanging="533"/>
        <w:rPr/>
      </w:pPr>
      <w:r>
        <w:rPr/>
        <w:t xml:space="preserve">PN-EN 1367-1 Badania właściwości cieplnych i odporności kruszyw na działanie czynników atmosferycznych – Część 1: Oznaczanie mrozoodporności </w:t>
      </w:r>
    </w:p>
    <w:p>
      <w:pPr>
        <w:pStyle w:val="Normal"/>
        <w:numPr>
          <w:ilvl w:val="0"/>
          <w:numId w:val="10"/>
        </w:numPr>
        <w:spacing w:before="0" w:after="36"/>
        <w:ind w:left="789" w:right="461" w:hanging="533"/>
        <w:rPr/>
      </w:pPr>
      <w:r>
        <w:rPr/>
        <w:t xml:space="preserve">PN-EN 1367-3 Badania właściwości cieplnych i odporności kruszyw na działanie czynników atmosferycznych – Część 3: Badanie bazaltowej zgorzeli słonecznej metodą gotowania </w:t>
      </w:r>
    </w:p>
    <w:p>
      <w:pPr>
        <w:pStyle w:val="Normal"/>
        <w:numPr>
          <w:ilvl w:val="0"/>
          <w:numId w:val="10"/>
        </w:numPr>
        <w:spacing w:before="0" w:after="27"/>
        <w:ind w:left="789" w:right="461" w:hanging="533"/>
        <w:rPr/>
      </w:pPr>
      <w:r>
        <w:rPr/>
        <w:t xml:space="preserve">PN-EN 1426 </w:t>
        <w:tab/>
        <w:t xml:space="preserve">Asfalty i produkty asfaltowe – Oznaczanie penetracji igłą </w:t>
      </w:r>
    </w:p>
    <w:p>
      <w:pPr>
        <w:pStyle w:val="Normal"/>
        <w:numPr>
          <w:ilvl w:val="0"/>
          <w:numId w:val="10"/>
        </w:numPr>
        <w:spacing w:before="0" w:after="28"/>
        <w:ind w:left="789" w:right="461" w:hanging="533"/>
        <w:rPr/>
      </w:pPr>
      <w:r>
        <w:rPr/>
        <w:t xml:space="preserve">PN-EN 1427 Asfalty i produkty asfaltowe – Oznaczanie temperatury mięknienia – Metoda Pierścień i Kula </w:t>
      </w:r>
    </w:p>
    <w:p>
      <w:pPr>
        <w:pStyle w:val="Normal"/>
        <w:numPr>
          <w:ilvl w:val="0"/>
          <w:numId w:val="10"/>
        </w:numPr>
        <w:ind w:left="789" w:right="461" w:hanging="533"/>
        <w:rPr/>
      </w:pPr>
      <w:r>
        <w:rPr/>
        <w:t xml:space="preserve">PN-EN 1428 Asfalty i lepiszcza asfaltowe – Oznaczanie zawartości wody w emulsjach asfaltowych – Metoda destylacji azeotropowej </w:t>
      </w:r>
    </w:p>
    <w:p>
      <w:pPr>
        <w:pStyle w:val="Normal"/>
        <w:numPr>
          <w:ilvl w:val="0"/>
          <w:numId w:val="10"/>
        </w:numPr>
        <w:ind w:left="789" w:right="461" w:hanging="533"/>
        <w:rPr/>
      </w:pPr>
      <w:r>
        <w:rPr/>
        <w:t xml:space="preserve">PN-EN 1429 </w:t>
        <w:tab/>
        <w:t xml:space="preserve">Asfalty i lepiszcza asfaltowe – Oznaczanie pozostałości na sicie emulsji </w:t>
      </w:r>
    </w:p>
    <w:p>
      <w:pPr>
        <w:pStyle w:val="Normal"/>
        <w:ind w:left="2648" w:right="591" w:hanging="10"/>
        <w:rPr/>
      </w:pPr>
      <w:r>
        <w:rPr/>
        <w:t xml:space="preserve">asfaltowych oraz trwałości podczas magazynowania metodą pozostałości na sicie </w:t>
      </w:r>
    </w:p>
    <w:p>
      <w:pPr>
        <w:pStyle w:val="Normal"/>
        <w:numPr>
          <w:ilvl w:val="0"/>
          <w:numId w:val="10"/>
        </w:numPr>
        <w:spacing w:before="0" w:after="41"/>
        <w:ind w:left="789" w:right="461" w:hanging="533"/>
        <w:rPr/>
      </w:pPr>
      <w:r>
        <w:rPr/>
        <w:t xml:space="preserve">PN-EN 1744-1 </w:t>
        <w:tab/>
        <w:t xml:space="preserve">Badania chemicznych właściwości kruszyw – Analiza chemiczna </w:t>
      </w:r>
    </w:p>
    <w:p>
      <w:pPr>
        <w:pStyle w:val="Normal"/>
        <w:numPr>
          <w:ilvl w:val="0"/>
          <w:numId w:val="10"/>
        </w:numPr>
        <w:ind w:left="789" w:right="461" w:hanging="533"/>
        <w:rPr/>
      </w:pPr>
      <w:r>
        <w:rPr/>
        <w:t xml:space="preserve">PN-EN 1744-4 Badania chemicznych właściwości kruszyw – Część 4: Oznaczanie podatności wypełniaczy do mieszanek mineralno-asfaltowych na działanie wody </w:t>
      </w:r>
    </w:p>
    <w:p>
      <w:pPr>
        <w:pStyle w:val="Normal"/>
        <w:numPr>
          <w:ilvl w:val="0"/>
          <w:numId w:val="10"/>
        </w:numPr>
        <w:spacing w:before="0" w:after="28"/>
        <w:ind w:left="789" w:right="461" w:hanging="533"/>
        <w:rPr/>
      </w:pPr>
      <w:r>
        <w:rPr/>
        <w:t xml:space="preserve">PN-EN 12591 </w:t>
        <w:tab/>
        <w:t xml:space="preserve">Asfalty i produkty asfaltowe – Wymagania dla asfaltów drogowych </w:t>
      </w:r>
    </w:p>
    <w:p>
      <w:pPr>
        <w:pStyle w:val="Normal"/>
        <w:numPr>
          <w:ilvl w:val="0"/>
          <w:numId w:val="10"/>
        </w:numPr>
        <w:spacing w:before="0" w:after="32"/>
        <w:ind w:left="789" w:right="461" w:hanging="533"/>
        <w:rPr/>
      </w:pPr>
      <w:r>
        <w:rPr/>
        <w:t xml:space="preserve">PN-EN 12592 </w:t>
        <w:tab/>
        <w:t xml:space="preserve">Asfalty i produkty asfaltowe – Oznaczanie rozpuszczalności </w:t>
      </w:r>
    </w:p>
    <w:p>
      <w:pPr>
        <w:pStyle w:val="Normal"/>
        <w:numPr>
          <w:ilvl w:val="0"/>
          <w:numId w:val="10"/>
        </w:numPr>
        <w:ind w:left="789" w:right="461" w:hanging="533"/>
        <w:rPr/>
      </w:pPr>
      <w:r>
        <w:rPr/>
        <w:t xml:space="preserve">PN-EN 12593 Asfalty i produkty asfaltowe – Oznaczanie temperatury łamliwości Fraassa 30. PN-EN 12606-1 Asfalty i produkty asfaltowe – Oznaczanie zawartości parafiny – Część 1: Metoda destylacyjna </w:t>
      </w:r>
    </w:p>
    <w:p>
      <w:pPr>
        <w:pStyle w:val="Normal"/>
        <w:numPr>
          <w:ilvl w:val="0"/>
          <w:numId w:val="11"/>
        </w:numPr>
        <w:spacing w:before="0" w:after="35"/>
        <w:ind w:left="789" w:right="461" w:hanging="533"/>
        <w:rPr/>
      </w:pPr>
      <w:r>
        <w:rPr/>
        <w:t xml:space="preserve">PN-EN 12607-1 Asfalty i produkty asfaltowe – Oznaczanie odporności na twardnienie pod  wpływem ciepła i powietrza – Część 1: Metoda RTFOT </w:t>
      </w:r>
    </w:p>
    <w:p>
      <w:pPr>
        <w:pStyle w:val="Normal"/>
        <w:tabs>
          <w:tab w:val="center" w:pos="817" w:leader="none"/>
          <w:tab w:val="center" w:pos="3786" w:leader="none"/>
        </w:tabs>
        <w:ind w:left="0" w:right="0" w:hanging="0"/>
        <w:jc w:val="left"/>
        <w:rPr/>
      </w:pPr>
      <w:r>
        <w:rPr>
          <w:rFonts w:eastAsia="Calibri" w:cs="Calibri" w:ascii="Calibri" w:hAnsi="Calibri"/>
          <w:sz w:val="22"/>
        </w:rPr>
        <w:tab/>
      </w:r>
      <w:r>
        <w:rPr/>
        <w:t xml:space="preserve">i </w:t>
        <w:tab/>
        <w:t xml:space="preserve">Jw. Część 3: Metoda RFT </w:t>
      </w:r>
    </w:p>
    <w:p>
      <w:pPr>
        <w:pStyle w:val="Normal"/>
        <w:spacing w:before="0" w:after="25"/>
        <w:ind w:left="804" w:right="461" w:hanging="10"/>
        <w:rPr/>
      </w:pPr>
      <w:r>
        <w:rPr/>
        <w:t xml:space="preserve">PN-EN 12607-3 </w:t>
      </w:r>
    </w:p>
    <w:p>
      <w:pPr>
        <w:pStyle w:val="Normal"/>
        <w:numPr>
          <w:ilvl w:val="0"/>
          <w:numId w:val="11"/>
        </w:numPr>
        <w:spacing w:before="0" w:after="32"/>
        <w:ind w:left="789" w:right="461" w:hanging="533"/>
        <w:rPr/>
      </w:pPr>
      <w:r>
        <w:rPr/>
        <w:t xml:space="preserve">PN-EN 12697-6 Mieszanki mineralno-asfaltowe – Metody badań mieszanek mineralnoasfaltowych na gorąco – Część 6: Oznaczanie gęstości objętościowej metodą hydrostatyczną </w:t>
      </w:r>
    </w:p>
    <w:p>
      <w:pPr>
        <w:pStyle w:val="Normal"/>
        <w:numPr>
          <w:ilvl w:val="0"/>
          <w:numId w:val="11"/>
        </w:numPr>
        <w:spacing w:before="0" w:after="36"/>
        <w:ind w:left="789" w:right="461" w:hanging="533"/>
        <w:rPr/>
      </w:pPr>
      <w:r>
        <w:rPr/>
        <w:t>PN-EN 12697-8 Mieszanki mineralno-asfaltowe – Metody badań mieszanek mineralnoasfaltowych na gorąco – Część 8: Oznaczanie zawartości wolnej prze-</w:t>
      </w:r>
    </w:p>
    <w:p>
      <w:pPr>
        <w:pStyle w:val="Normal"/>
        <w:ind w:left="2648" w:right="461" w:hanging="10"/>
        <w:rPr/>
      </w:pPr>
      <w:r>
        <w:rPr/>
        <w:t xml:space="preserve">strzeni </w:t>
      </w:r>
    </w:p>
    <w:p>
      <w:pPr>
        <w:pStyle w:val="Normal"/>
        <w:numPr>
          <w:ilvl w:val="0"/>
          <w:numId w:val="11"/>
        </w:numPr>
        <w:spacing w:before="0" w:after="36"/>
        <w:ind w:left="789" w:right="461" w:hanging="533"/>
        <w:rPr/>
      </w:pPr>
      <w:r>
        <w:rPr/>
        <w:t>PN-EN 12697-11 Mieszanki mineralno-asfaltowe – Metody badań mieszanek mineralnoasfaltowych na gorąco – Część 11: Określenie powiązania pomiędzy kru-</w:t>
      </w:r>
    </w:p>
    <w:p>
      <w:pPr>
        <w:pStyle w:val="Normal"/>
        <w:ind w:left="2648" w:right="461" w:hanging="10"/>
        <w:rPr/>
      </w:pPr>
      <w:r>
        <w:rPr/>
        <w:t xml:space="preserve">szywem i asfaltem </w:t>
      </w:r>
    </w:p>
    <w:p>
      <w:pPr>
        <w:pStyle w:val="Normal"/>
        <w:numPr>
          <w:ilvl w:val="0"/>
          <w:numId w:val="11"/>
        </w:numPr>
        <w:spacing w:before="0" w:after="36"/>
        <w:ind w:left="789" w:right="461" w:hanging="533"/>
        <w:rPr/>
      </w:pPr>
      <w:r>
        <w:rPr/>
        <w:t xml:space="preserve">PN-EN 12697-12 Mieszanki mineralno-asfaltowe – Metody badań mieszanek mineralnoasfaltowych na gorąco – Część 12: Określanie wrażliwości na wodę </w:t>
      </w:r>
    </w:p>
    <w:p>
      <w:pPr>
        <w:pStyle w:val="Normal"/>
        <w:numPr>
          <w:ilvl w:val="0"/>
          <w:numId w:val="11"/>
        </w:numPr>
        <w:spacing w:before="0" w:after="38"/>
        <w:ind w:left="789" w:right="461" w:hanging="533"/>
        <w:rPr/>
      </w:pPr>
      <w:r>
        <w:rPr/>
        <w:t xml:space="preserve">PN-EN 12697-13 Mieszanki mineralno-asfaltowe – Metody badań mieszanek mineralnoasfaltowych na gorąco – Część 13: Pomiar temperatury </w:t>
      </w:r>
    </w:p>
    <w:p>
      <w:pPr>
        <w:pStyle w:val="Normal"/>
        <w:numPr>
          <w:ilvl w:val="0"/>
          <w:numId w:val="11"/>
        </w:numPr>
        <w:spacing w:before="0" w:after="34"/>
        <w:ind w:left="789" w:right="461" w:hanging="533"/>
        <w:rPr/>
      </w:pPr>
      <w:r>
        <w:rPr/>
        <w:t xml:space="preserve">PN-EN 12697-18 Mieszanki mineralno-asfaltowe – Metody badań mieszanek mineralnoasfaltowych na gorąco – Część 18: Spływanie lepiszcza </w:t>
      </w:r>
    </w:p>
    <w:p>
      <w:pPr>
        <w:pStyle w:val="Normal"/>
        <w:numPr>
          <w:ilvl w:val="0"/>
          <w:numId w:val="11"/>
        </w:numPr>
        <w:spacing w:before="0" w:after="36"/>
        <w:ind w:left="789" w:right="461" w:hanging="533"/>
        <w:rPr/>
      </w:pPr>
      <w:r>
        <w:rPr/>
        <w:t xml:space="preserve">PN-EN 12697-22 Mieszanki mineralno-asfaltowe – Metody badań mieszanek mineralnoasfaltowych na gorąco – Część 22: Koleinowanie </w:t>
      </w:r>
    </w:p>
    <w:p>
      <w:pPr>
        <w:pStyle w:val="Normal"/>
        <w:numPr>
          <w:ilvl w:val="0"/>
          <w:numId w:val="11"/>
        </w:numPr>
        <w:spacing w:before="0" w:after="36"/>
        <w:ind w:left="789" w:right="461" w:hanging="533"/>
        <w:rPr/>
      </w:pPr>
      <w:r>
        <w:rPr/>
        <w:t xml:space="preserve">PN-EN 12697-27 Mieszanki mineralno-asfaltowe – Metody badań mieszanek mineralnoasfaltowych na gorąco – Część 27: Pobieranie próbek </w:t>
      </w:r>
    </w:p>
    <w:p>
      <w:pPr>
        <w:pStyle w:val="Normal"/>
        <w:numPr>
          <w:ilvl w:val="0"/>
          <w:numId w:val="11"/>
        </w:numPr>
        <w:spacing w:lineRule="auto" w:line="295" w:before="0" w:after="0"/>
        <w:ind w:left="789" w:right="461" w:hanging="533"/>
        <w:rPr/>
      </w:pPr>
      <w:r>
        <w:rPr/>
        <w:t xml:space="preserve">PN-EN 12697-36 </w:t>
        <w:tab/>
        <w:t xml:space="preserve">Mieszanki mineralno-asfaltowe – Metody badań mieszanek mineralnoasfaltowych na gorąco – Część 36: Oznaczanie grubości nawierzchni asfaltowych </w:t>
      </w:r>
    </w:p>
    <w:p>
      <w:pPr>
        <w:pStyle w:val="Normal"/>
        <w:numPr>
          <w:ilvl w:val="0"/>
          <w:numId w:val="11"/>
        </w:numPr>
        <w:spacing w:before="0" w:after="36"/>
        <w:ind w:left="789" w:right="461" w:hanging="533"/>
        <w:rPr/>
      </w:pPr>
      <w:r>
        <w:rPr/>
        <w:t xml:space="preserve">PN-EN 12846 Asfalty i lepiszcza asfaltowe – Oznaczanie czasu wypływu emulsji asfaltowych lepkościomierzem wypływowym </w:t>
      </w:r>
    </w:p>
    <w:p>
      <w:pPr>
        <w:pStyle w:val="Normal"/>
        <w:numPr>
          <w:ilvl w:val="0"/>
          <w:numId w:val="11"/>
        </w:numPr>
        <w:ind w:left="789" w:right="461" w:hanging="533"/>
        <w:rPr/>
      </w:pPr>
      <w:r>
        <w:rPr/>
        <w:t xml:space="preserve">PN-EN 12847 </w:t>
        <w:tab/>
        <w:t xml:space="preserve">Asfalty i lepiszcza asfaltowe – Oznaczanie sedymentacji emulsji asfaltowych </w:t>
      </w:r>
    </w:p>
    <w:p>
      <w:pPr>
        <w:pStyle w:val="Normal"/>
        <w:numPr>
          <w:ilvl w:val="0"/>
          <w:numId w:val="11"/>
        </w:numPr>
        <w:ind w:left="789" w:right="461" w:hanging="533"/>
        <w:rPr/>
      </w:pPr>
      <w:r>
        <w:rPr/>
        <w:t xml:space="preserve">PN-EN 12850 </w:t>
        <w:tab/>
        <w:t xml:space="preserve">Asfalty i lepiszcza asfaltowe – Oznaczanie wartości pH emulsji asfaltowych </w:t>
      </w:r>
    </w:p>
    <w:p>
      <w:pPr>
        <w:pStyle w:val="Normal"/>
        <w:numPr>
          <w:ilvl w:val="0"/>
          <w:numId w:val="11"/>
        </w:numPr>
        <w:ind w:left="789" w:right="461" w:hanging="533"/>
        <w:rPr/>
      </w:pPr>
      <w:r>
        <w:rPr/>
        <w:t xml:space="preserve">PN-EN 13043 Kruszywa do mieszanek bitumicznych i powierzchniowych utrwaleń stosowanych na drogach, lotniskach i innych powierzchniach przeznaczonych do ruchu </w:t>
      </w:r>
    </w:p>
    <w:p>
      <w:pPr>
        <w:pStyle w:val="Normal"/>
        <w:numPr>
          <w:ilvl w:val="0"/>
          <w:numId w:val="11"/>
        </w:numPr>
        <w:ind w:left="789" w:right="461" w:hanging="533"/>
        <w:rPr/>
      </w:pPr>
      <w:r>
        <w:rPr/>
        <w:t xml:space="preserve">PN-EN 13074 Asfalty i lepiszcza asfaltowe – Oznaczanie lepiszczy z emulsji asfaltowych przez odparowanie </w:t>
      </w:r>
    </w:p>
    <w:p>
      <w:pPr>
        <w:pStyle w:val="Normal"/>
        <w:numPr>
          <w:ilvl w:val="0"/>
          <w:numId w:val="11"/>
        </w:numPr>
        <w:ind w:left="789" w:right="461" w:hanging="533"/>
        <w:rPr/>
      </w:pPr>
      <w:r>
        <w:rPr/>
        <w:t xml:space="preserve">PN-EN 13075-1 </w:t>
        <w:tab/>
        <w:t xml:space="preserve">Asfalty i lepiszcza asfaltowe – Badanie rozpadu – Część 1: Oznaczanie </w:t>
      </w:r>
    </w:p>
    <w:p>
      <w:pPr>
        <w:pStyle w:val="Normal"/>
        <w:spacing w:before="0" w:after="34"/>
        <w:ind w:left="2648" w:right="711" w:hanging="10"/>
        <w:rPr/>
      </w:pPr>
      <w:r>
        <w:rPr/>
        <w:t xml:space="preserve">indeksu rozpadu kationowych emulsji asfaltowych, metoda z wypełniaczem mineralnym </w:t>
      </w:r>
    </w:p>
    <w:p>
      <w:pPr>
        <w:pStyle w:val="Normal"/>
        <w:numPr>
          <w:ilvl w:val="0"/>
          <w:numId w:val="11"/>
        </w:numPr>
        <w:spacing w:before="0" w:after="27"/>
        <w:ind w:left="789" w:right="461" w:hanging="533"/>
        <w:rPr/>
      </w:pPr>
      <w:r>
        <w:rPr/>
        <w:t xml:space="preserve">PN-EN 13108-1 </w:t>
        <w:tab/>
        <w:t xml:space="preserve">Mieszanki mineralno-asfaltowe – Wymagania – Część 1: Beton asfaltowy </w:t>
      </w:r>
    </w:p>
    <w:p>
      <w:pPr>
        <w:pStyle w:val="Normal"/>
        <w:numPr>
          <w:ilvl w:val="0"/>
          <w:numId w:val="11"/>
        </w:numPr>
        <w:spacing w:before="0" w:after="42"/>
        <w:ind w:left="789" w:right="461" w:hanging="533"/>
        <w:rPr/>
      </w:pPr>
      <w:r>
        <w:rPr/>
        <w:t xml:space="preserve">PN-EN 13108-20 </w:t>
        <w:tab/>
        <w:t xml:space="preserve">Mieszanki mineralno-asfaltowe – Wymagania – Część 20: Badanie typu </w:t>
      </w:r>
    </w:p>
    <w:p>
      <w:pPr>
        <w:pStyle w:val="Normal"/>
        <w:numPr>
          <w:ilvl w:val="0"/>
          <w:numId w:val="11"/>
        </w:numPr>
        <w:spacing w:before="0" w:after="30"/>
        <w:ind w:left="789" w:right="461" w:hanging="533"/>
        <w:rPr/>
      </w:pPr>
      <w:r>
        <w:rPr/>
        <w:t xml:space="preserve">PN-EN 13179-1 Badania kruszyw wypełniających stosowanych do mieszanek bitumicznych – Część 1: Badanie metodą Pierścienia i Kuli </w:t>
      </w:r>
    </w:p>
    <w:p>
      <w:pPr>
        <w:pStyle w:val="Normal"/>
        <w:numPr>
          <w:ilvl w:val="0"/>
          <w:numId w:val="11"/>
        </w:numPr>
        <w:spacing w:before="0" w:after="31"/>
        <w:ind w:left="789" w:right="461" w:hanging="533"/>
        <w:rPr/>
      </w:pPr>
      <w:r>
        <w:rPr/>
        <w:t xml:space="preserve">PN-EN 13179-2 Badania kruszyw wypełniających stosowanych do mieszanek bitumicznych – Część 2: Liczba bitumiczna </w:t>
      </w:r>
    </w:p>
    <w:p>
      <w:pPr>
        <w:pStyle w:val="Normal"/>
        <w:numPr>
          <w:ilvl w:val="0"/>
          <w:numId w:val="11"/>
        </w:numPr>
        <w:ind w:left="789" w:right="461" w:hanging="533"/>
        <w:rPr/>
      </w:pPr>
      <w:r>
        <w:rPr/>
        <w:t xml:space="preserve">PN-EN 13398 </w:t>
        <w:tab/>
        <w:t xml:space="preserve">Asfalty i lepiszcza asfaltowe – Oznaczanie nawrotu sprężystego asfaltów modyfikowanych </w:t>
      </w:r>
    </w:p>
    <w:p>
      <w:pPr>
        <w:pStyle w:val="Normal"/>
        <w:numPr>
          <w:ilvl w:val="0"/>
          <w:numId w:val="11"/>
        </w:numPr>
        <w:spacing w:lineRule="auto" w:line="319"/>
        <w:ind w:left="789" w:right="461" w:hanging="533"/>
        <w:rPr/>
      </w:pPr>
      <w:r>
        <w:rPr/>
        <w:t xml:space="preserve">PN-EN 13399 </w:t>
        <w:tab/>
        <w:t xml:space="preserve">Asfalty i lepiszcza asfaltowe – Oznaczanie odporności na magazynowanie modyfikowanych asfaltów </w:t>
      </w:r>
    </w:p>
    <w:p>
      <w:pPr>
        <w:pStyle w:val="Normal"/>
        <w:numPr>
          <w:ilvl w:val="0"/>
          <w:numId w:val="11"/>
        </w:numPr>
        <w:spacing w:before="0" w:after="38"/>
        <w:ind w:left="789" w:right="461" w:hanging="533"/>
        <w:rPr/>
      </w:pPr>
      <w:r>
        <w:rPr/>
        <w:t xml:space="preserve">PN-EN 13587 Asfalty i lepiszcza asfaltowe – Oznaczanie ciągliwości lepiszczy asfaltowych metodą pomiaru ciągliwości </w:t>
      </w:r>
    </w:p>
    <w:p>
      <w:pPr>
        <w:pStyle w:val="Normal"/>
        <w:numPr>
          <w:ilvl w:val="0"/>
          <w:numId w:val="11"/>
        </w:numPr>
        <w:spacing w:before="0" w:after="49"/>
        <w:ind w:left="789" w:right="461" w:hanging="533"/>
        <w:rPr/>
      </w:pPr>
      <w:r>
        <w:rPr/>
        <w:t xml:space="preserve">PN-EN 13588 </w:t>
        <w:tab/>
        <w:t xml:space="preserve">Asfalty i lepiszcza asfaltowe – Oznaczanie kohezji lepiszczy asfaltowych </w:t>
      </w:r>
    </w:p>
    <w:p>
      <w:pPr>
        <w:pStyle w:val="Normal"/>
        <w:ind w:left="2648" w:right="461" w:hanging="10"/>
        <w:rPr/>
      </w:pPr>
      <w:r>
        <w:rPr/>
        <w:t xml:space="preserve">metodą testu wahadłowego </w:t>
      </w:r>
    </w:p>
    <w:p>
      <w:pPr>
        <w:pStyle w:val="Normal"/>
        <w:numPr>
          <w:ilvl w:val="0"/>
          <w:numId w:val="11"/>
        </w:numPr>
        <w:ind w:left="789" w:right="461" w:hanging="533"/>
        <w:rPr/>
      </w:pPr>
      <w:r>
        <w:rPr/>
        <w:t xml:space="preserve">PN-EN 13589 Asfalty i lepiszcza asfaltowe – Oznaczanie ciągliwości modyfikowanych asfaltów – Metoda z duktylometrem </w:t>
      </w:r>
    </w:p>
    <w:p>
      <w:pPr>
        <w:pStyle w:val="Normal"/>
        <w:numPr>
          <w:ilvl w:val="0"/>
          <w:numId w:val="11"/>
        </w:numPr>
        <w:ind w:left="789" w:right="461" w:hanging="533"/>
        <w:rPr/>
      </w:pPr>
      <w:r>
        <w:rPr/>
        <w:t xml:space="preserve">PN-EN 13614 Asfalty i lepiszcza asfaltowe – Oznaczanie przyczepności emulsji bitumicznych przez zanurzenie w wodzie – Metoda z kruszywem </w:t>
      </w:r>
    </w:p>
    <w:p>
      <w:pPr>
        <w:pStyle w:val="Normal"/>
        <w:numPr>
          <w:ilvl w:val="0"/>
          <w:numId w:val="11"/>
        </w:numPr>
        <w:ind w:left="789" w:right="461" w:hanging="533"/>
        <w:rPr/>
      </w:pPr>
      <w:r>
        <w:rPr/>
        <w:t xml:space="preserve">PN-EN 13703 </w:t>
        <w:tab/>
        <w:t xml:space="preserve">Asfalty i lepiszcza asfaltowe – Oznaczanie energii deformacji </w:t>
      </w:r>
    </w:p>
    <w:p>
      <w:pPr>
        <w:pStyle w:val="Normal"/>
        <w:numPr>
          <w:ilvl w:val="0"/>
          <w:numId w:val="11"/>
        </w:numPr>
        <w:ind w:left="789" w:right="461" w:hanging="533"/>
        <w:rPr/>
      </w:pPr>
      <w:r>
        <w:rPr/>
        <w:t xml:space="preserve">PN-EN 13808 </w:t>
        <w:tab/>
        <w:t xml:space="preserve">Asfalty i lepiszcza asfaltowe – Zasady specyfikacji kationowych emulsji asfaltowych </w:t>
      </w:r>
    </w:p>
    <w:p>
      <w:pPr>
        <w:pStyle w:val="Normal"/>
        <w:numPr>
          <w:ilvl w:val="0"/>
          <w:numId w:val="11"/>
        </w:numPr>
        <w:spacing w:before="0" w:after="30"/>
        <w:ind w:left="789" w:right="461" w:hanging="533"/>
        <w:rPr/>
      </w:pPr>
      <w:r>
        <w:rPr/>
        <w:t xml:space="preserve">PN-EN 14023 Asfalty i lepiszcza asfaltowe – Zasady specyfikacji asfaltów modyfikowanych polimerami </w:t>
      </w:r>
    </w:p>
    <w:p>
      <w:pPr>
        <w:pStyle w:val="Normal"/>
        <w:numPr>
          <w:ilvl w:val="0"/>
          <w:numId w:val="11"/>
        </w:numPr>
        <w:ind w:left="789" w:right="461" w:hanging="533"/>
        <w:rPr/>
      </w:pPr>
      <w:r>
        <w:rPr/>
        <w:t xml:space="preserve">PN-EN 14188-1 </w:t>
        <w:tab/>
        <w:t xml:space="preserve">Wypełniacze złączy i zalewy – Część 1: Specyfikacja zalew na gorąco </w:t>
      </w:r>
    </w:p>
    <w:p>
      <w:pPr>
        <w:pStyle w:val="Normal"/>
        <w:numPr>
          <w:ilvl w:val="0"/>
          <w:numId w:val="11"/>
        </w:numPr>
        <w:spacing w:before="0" w:after="29"/>
        <w:ind w:left="789" w:right="461" w:hanging="533"/>
        <w:rPr/>
      </w:pPr>
      <w:r>
        <w:rPr/>
        <w:t xml:space="preserve">PN-EN 14188-2 </w:t>
        <w:tab/>
        <w:t xml:space="preserve">Wypełniacze złączy i zalewy – Część 2: Specyfikacja zalew na zimno </w:t>
      </w:r>
    </w:p>
    <w:p>
      <w:pPr>
        <w:pStyle w:val="Normal"/>
        <w:numPr>
          <w:ilvl w:val="0"/>
          <w:numId w:val="11"/>
        </w:numPr>
        <w:spacing w:before="0" w:after="36"/>
        <w:ind w:left="789" w:right="461" w:hanging="533"/>
        <w:rPr/>
      </w:pPr>
      <w:r>
        <w:rPr/>
        <w:t xml:space="preserve">PN-EN 22592 Przetwory naftowe – Oznaczanie temperatury zapłonu i palenia – Pomiar metodą otwartego tygla Clevelanda </w:t>
      </w:r>
    </w:p>
    <w:p>
      <w:pPr>
        <w:pStyle w:val="Normal"/>
        <w:numPr>
          <w:ilvl w:val="0"/>
          <w:numId w:val="11"/>
        </w:numPr>
        <w:ind w:left="789" w:right="461" w:hanging="533"/>
        <w:rPr/>
      </w:pPr>
      <w:r>
        <w:rPr/>
        <w:t xml:space="preserve">PN-EN ISO 2592 </w:t>
        <w:tab/>
        <w:t xml:space="preserve">Oznaczanie temperatury zapłonu i palenia – Metoda otwartego tygla Clevelanda </w:t>
      </w:r>
    </w:p>
    <w:p>
      <w:pPr>
        <w:pStyle w:val="Normal"/>
        <w:spacing w:lineRule="auto" w:line="259" w:before="0" w:after="17"/>
        <w:ind w:left="262" w:right="0" w:hanging="0"/>
        <w:jc w:val="left"/>
        <w:rPr/>
      </w:pPr>
      <w:r>
        <w:rPr/>
      </w:r>
    </w:p>
    <w:p>
      <w:pPr>
        <w:pStyle w:val="Nagwek2"/>
        <w:ind w:left="257" w:right="470" w:hanging="10"/>
        <w:rPr/>
      </w:pPr>
      <w:r>
        <w:rPr/>
        <w:t xml:space="preserve">10.6. Wymagania techniczne </w:t>
      </w:r>
    </w:p>
    <w:p>
      <w:pPr>
        <w:pStyle w:val="Normal"/>
        <w:spacing w:lineRule="auto" w:line="259" w:before="0" w:after="29"/>
        <w:ind w:left="262" w:right="0" w:hanging="0"/>
        <w:jc w:val="left"/>
        <w:rPr/>
      </w:pPr>
      <w:r>
        <w:rPr/>
      </w:r>
    </w:p>
    <w:p>
      <w:pPr>
        <w:pStyle w:val="Normal"/>
        <w:numPr>
          <w:ilvl w:val="0"/>
          <w:numId w:val="12"/>
        </w:numPr>
        <w:ind w:left="688" w:right="461" w:hanging="314"/>
        <w:rPr/>
      </w:pPr>
      <w:r>
        <w:rPr/>
        <w:t xml:space="preserve">WT-1 Kruszywa 2014. Kruszywa do mieszanek mineralno-asfaltowych i powierzchniowych utrwaleń na drogach krajowych  </w:t>
      </w:r>
    </w:p>
    <w:p>
      <w:pPr>
        <w:pStyle w:val="Normal"/>
        <w:numPr>
          <w:ilvl w:val="0"/>
          <w:numId w:val="12"/>
        </w:numPr>
        <w:ind w:left="688" w:right="461" w:hanging="314"/>
        <w:rPr/>
      </w:pPr>
      <w:r>
        <w:rPr/>
        <w:t xml:space="preserve">WT-2 Nawierzchnie asfaltowe 2014. Nawierzchnie asfaltowe na drogach krajowych  </w:t>
      </w:r>
    </w:p>
    <w:p>
      <w:pPr>
        <w:pStyle w:val="Normal"/>
        <w:numPr>
          <w:ilvl w:val="0"/>
          <w:numId w:val="12"/>
        </w:numPr>
        <w:ind w:left="688" w:right="461" w:hanging="314"/>
        <w:rPr/>
      </w:pPr>
      <w:r>
        <w:rPr/>
        <w:t xml:space="preserve">WT-3 Emulsje asfaltowe 2009. Kationowe emulsje asfaltowe na drogach publicznych </w:t>
      </w:r>
    </w:p>
    <w:p>
      <w:pPr>
        <w:pStyle w:val="Normal"/>
        <w:spacing w:lineRule="auto" w:line="259" w:before="0" w:after="17"/>
        <w:ind w:left="262" w:right="0" w:hanging="0"/>
        <w:jc w:val="left"/>
        <w:rPr/>
      </w:pPr>
      <w:r>
        <w:rPr/>
      </w:r>
    </w:p>
    <w:p>
      <w:pPr>
        <w:pStyle w:val="Nagwek2"/>
        <w:ind w:left="257" w:right="470" w:hanging="10"/>
        <w:rPr/>
      </w:pPr>
      <w:r>
        <w:rPr/>
        <w:t xml:space="preserve">10.7. Inne dokumenty </w:t>
      </w:r>
    </w:p>
    <w:p>
      <w:pPr>
        <w:pStyle w:val="Normal"/>
        <w:spacing w:lineRule="auto" w:line="259" w:before="0" w:after="24"/>
        <w:ind w:left="262" w:right="0" w:hanging="0"/>
        <w:jc w:val="left"/>
        <w:rPr/>
      </w:pPr>
      <w:r>
        <w:rPr/>
      </w:r>
    </w:p>
    <w:p>
      <w:pPr>
        <w:pStyle w:val="Normal"/>
        <w:numPr>
          <w:ilvl w:val="0"/>
          <w:numId w:val="13"/>
        </w:numPr>
        <w:ind w:left="688" w:right="461" w:hanging="314"/>
        <w:rPr/>
      </w:pPr>
      <w:r>
        <w:rPr/>
        <w:t xml:space="preserve">Rozporządzenie Ministra Transportu i Gospodarki Morskiej z dnia 2 marca 1999 r. w sprawie warunków technicznych, jakim powinny odpowiadać drogi publiczne i ich usytuowanie (Dz.U. nr 43, poz. 430) </w:t>
      </w:r>
    </w:p>
    <w:p>
      <w:pPr>
        <w:pStyle w:val="Normal"/>
        <w:numPr>
          <w:ilvl w:val="0"/>
          <w:numId w:val="13"/>
        </w:numPr>
        <w:spacing w:before="0" w:after="38"/>
        <w:ind w:left="688" w:right="461" w:hanging="314"/>
        <w:rPr/>
      </w:pPr>
      <w:r>
        <w:rPr/>
        <w:t>Katalog typowych konstrukcji nawierzchni podatnych i półsztywnych. Generalna Dyrekcja Dróg Pu-</w:t>
      </w:r>
    </w:p>
    <w:p>
      <w:pPr>
        <w:pStyle w:val="Normal"/>
        <w:ind w:left="699" w:right="461" w:hanging="10"/>
        <w:rPr/>
      </w:pPr>
      <w:r>
        <w:rPr/>
        <w:t xml:space="preserve">blicznych – Instytut Badawczy Dróg i Mostów, Warszawa 1997 </w:t>
      </w:r>
    </w:p>
    <w:p>
      <w:pPr>
        <w:pStyle w:val="Normal"/>
        <w:spacing w:lineRule="auto" w:line="259" w:before="0" w:after="14"/>
        <w:ind w:left="262" w:right="0" w:hanging="0"/>
        <w:jc w:val="left"/>
        <w:rPr/>
      </w:pPr>
      <w:r>
        <w:rPr/>
      </w:r>
    </w:p>
    <w:p>
      <w:pPr>
        <w:pStyle w:val="Normal"/>
        <w:spacing w:lineRule="auto" w:line="259" w:before="0" w:after="254"/>
        <w:ind w:left="262" w:right="0" w:hanging="0"/>
        <w:jc w:val="left"/>
        <w:rPr/>
      </w:pPr>
      <w:r>
        <w:rPr/>
      </w:r>
    </w:p>
    <w:p>
      <w:pPr>
        <w:pStyle w:val="Normal"/>
        <w:spacing w:lineRule="auto" w:line="259" w:before="0" w:after="0"/>
        <w:ind w:left="262" w:right="0" w:hanging="0"/>
        <w:jc w:val="left"/>
        <w:rPr/>
      </w:pPr>
      <w:r>
        <w:rPr/>
      </w:r>
    </w:p>
    <w:sectPr>
      <w:headerReference w:type="even" r:id="rId6"/>
      <w:headerReference w:type="default" r:id="rId7"/>
      <w:footerReference w:type="even" r:id="rId8"/>
      <w:footerReference w:type="default" r:id="rId9"/>
      <w:type w:val="nextPage"/>
      <w:pgSz w:w="11906" w:h="16838"/>
      <w:pgMar w:left="1419" w:right="2108" w:header="708" w:top="1440" w:footer="830" w:bottom="1440" w:gutter="0"/>
      <w:pgNumType w:start="137"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 w:name="Times New Roman">
    <w:charset w:val="ee"/>
    <w:family w:val="roman"/>
    <w:pitch w:val="variable"/>
  </w:font>
  <w:font w:name="Segoe UI Symbol">
    <w:charset w:val="ee"/>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7611" w:leader="none"/>
        <w:tab w:val="right" w:pos="10145" w:leader="none"/>
      </w:tabs>
      <w:spacing w:lineRule="auto" w:line="259" w:before="0" w:after="0"/>
      <w:ind w:left="0" w:right="-1765" w:hanging="0"/>
      <w:jc w:val="left"/>
      <w:rPr>
        <w:b/>
        <w:b/>
        <w:i/>
        <w:i/>
        <w:sz w:val="16"/>
      </w:rPr>
    </w:pPr>
    <w:r>
      <w:rPr>
        <w:b/>
        <w:i/>
        <w:sz w:val="16"/>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7611" w:leader="none"/>
        <w:tab w:val="right" w:pos="10145" w:leader="none"/>
      </w:tabs>
      <w:spacing w:lineRule="auto" w:line="259" w:before="0" w:after="0"/>
      <w:ind w:left="0" w:right="-1765" w:hanging="0"/>
      <w:jc w:val="left"/>
      <w:rPr>
        <w:b/>
        <w:b/>
        <w:i/>
        <w:i/>
        <w:sz w:val="16"/>
      </w:rPr>
    </w:pPr>
    <w:r>
      <w:rPr>
        <w:b/>
        <w:i/>
        <w:sz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ind w:left="0" w:right="0" w:hanging="0"/>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ind w:left="0" w:right="0" w:hanging="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1255" w:hanging="360"/>
      </w:pPr>
      <w:rPr>
        <w:dstrike w:val="false"/>
        <w:strike w:val="false"/>
        <w:vertAlign w:val="baseline"/>
        <w:position w:val="0"/>
        <w:sz w:val="20"/>
        <w:sz w:val="20"/>
        <w:i w:val="false"/>
        <w:u w:val="none" w:color="000000"/>
        <w:b w:val="false"/>
        <w:szCs w:val="20"/>
        <w:highlight w:val="white"/>
        <w:rFonts w:eastAsia="Arial" w:cs="Arial"/>
        <w:color w:val="000000"/>
      </w:rPr>
    </w:lvl>
    <w:lvl w:ilvl="1">
      <w:start w:val="1"/>
      <w:numFmt w:val="lowerLetter"/>
      <w:lvlText w:val="%2"/>
      <w:lvlJc w:val="left"/>
      <w:pPr>
        <w:ind w:left="1646" w:hanging="360"/>
      </w:pPr>
      <w:rPr>
        <w:dstrike w:val="false"/>
        <w:strike w:val="false"/>
        <w:vertAlign w:val="baseline"/>
        <w:position w:val="0"/>
        <w:sz w:val="20"/>
        <w:sz w:val="20"/>
        <w:i w:val="false"/>
        <w:u w:val="none" w:color="000000"/>
        <w:b w:val="false"/>
        <w:szCs w:val="20"/>
        <w:highlight w:val="white"/>
        <w:rFonts w:eastAsia="Arial" w:cs="Arial"/>
        <w:color w:val="000000"/>
      </w:rPr>
    </w:lvl>
    <w:lvl w:ilvl="2">
      <w:start w:val="1"/>
      <w:numFmt w:val="lowerRoman"/>
      <w:lvlText w:val="%3"/>
      <w:lvlJc w:val="left"/>
      <w:pPr>
        <w:ind w:left="2366" w:hanging="360"/>
      </w:pPr>
      <w:rPr>
        <w:dstrike w:val="false"/>
        <w:strike w:val="false"/>
        <w:vertAlign w:val="baseline"/>
        <w:position w:val="0"/>
        <w:sz w:val="20"/>
        <w:sz w:val="20"/>
        <w:i w:val="false"/>
        <w:u w:val="none" w:color="000000"/>
        <w:b w:val="false"/>
        <w:szCs w:val="20"/>
        <w:highlight w:val="white"/>
        <w:rFonts w:eastAsia="Arial" w:cs="Arial"/>
        <w:color w:val="000000"/>
      </w:rPr>
    </w:lvl>
    <w:lvl w:ilvl="3">
      <w:start w:val="1"/>
      <w:numFmt w:val="decimal"/>
      <w:lvlText w:val="%4"/>
      <w:lvlJc w:val="left"/>
      <w:pPr>
        <w:ind w:left="3086" w:hanging="360"/>
      </w:pPr>
      <w:rPr>
        <w:dstrike w:val="false"/>
        <w:strike w:val="false"/>
        <w:vertAlign w:val="baseline"/>
        <w:position w:val="0"/>
        <w:sz w:val="20"/>
        <w:sz w:val="20"/>
        <w:i w:val="false"/>
        <w:u w:val="none" w:color="000000"/>
        <w:b w:val="false"/>
        <w:szCs w:val="20"/>
        <w:highlight w:val="white"/>
        <w:rFonts w:eastAsia="Arial" w:cs="Arial"/>
        <w:color w:val="000000"/>
      </w:rPr>
    </w:lvl>
    <w:lvl w:ilvl="4">
      <w:start w:val="1"/>
      <w:numFmt w:val="lowerLetter"/>
      <w:lvlText w:val="%5"/>
      <w:lvlJc w:val="left"/>
      <w:pPr>
        <w:ind w:left="3806" w:hanging="360"/>
      </w:pPr>
      <w:rPr>
        <w:dstrike w:val="false"/>
        <w:strike w:val="false"/>
        <w:vertAlign w:val="baseline"/>
        <w:position w:val="0"/>
        <w:sz w:val="20"/>
        <w:sz w:val="20"/>
        <w:i w:val="false"/>
        <w:u w:val="none" w:color="000000"/>
        <w:b w:val="false"/>
        <w:szCs w:val="20"/>
        <w:highlight w:val="white"/>
        <w:rFonts w:eastAsia="Arial" w:cs="Arial"/>
        <w:color w:val="000000"/>
      </w:rPr>
    </w:lvl>
    <w:lvl w:ilvl="5">
      <w:start w:val="1"/>
      <w:numFmt w:val="lowerRoman"/>
      <w:lvlText w:val="%6"/>
      <w:lvlJc w:val="left"/>
      <w:pPr>
        <w:ind w:left="4526" w:hanging="360"/>
      </w:pPr>
      <w:rPr>
        <w:dstrike w:val="false"/>
        <w:strike w:val="false"/>
        <w:vertAlign w:val="baseline"/>
        <w:position w:val="0"/>
        <w:sz w:val="20"/>
        <w:sz w:val="20"/>
        <w:i w:val="false"/>
        <w:u w:val="none" w:color="000000"/>
        <w:b w:val="false"/>
        <w:szCs w:val="20"/>
        <w:highlight w:val="white"/>
        <w:rFonts w:eastAsia="Arial" w:cs="Arial"/>
        <w:color w:val="000000"/>
      </w:rPr>
    </w:lvl>
    <w:lvl w:ilvl="6">
      <w:start w:val="1"/>
      <w:numFmt w:val="decimal"/>
      <w:lvlText w:val="%7"/>
      <w:lvlJc w:val="left"/>
      <w:pPr>
        <w:ind w:left="5246" w:hanging="360"/>
      </w:pPr>
      <w:rPr>
        <w:dstrike w:val="false"/>
        <w:strike w:val="false"/>
        <w:vertAlign w:val="baseline"/>
        <w:position w:val="0"/>
        <w:sz w:val="20"/>
        <w:sz w:val="20"/>
        <w:i w:val="false"/>
        <w:u w:val="none" w:color="000000"/>
        <w:b w:val="false"/>
        <w:szCs w:val="20"/>
        <w:highlight w:val="white"/>
        <w:rFonts w:eastAsia="Arial" w:cs="Arial"/>
        <w:color w:val="000000"/>
      </w:rPr>
    </w:lvl>
    <w:lvl w:ilvl="7">
      <w:start w:val="1"/>
      <w:numFmt w:val="lowerLetter"/>
      <w:lvlText w:val="%8"/>
      <w:lvlJc w:val="left"/>
      <w:pPr>
        <w:ind w:left="5966" w:hanging="360"/>
      </w:pPr>
      <w:rPr>
        <w:dstrike w:val="false"/>
        <w:strike w:val="false"/>
        <w:vertAlign w:val="baseline"/>
        <w:position w:val="0"/>
        <w:sz w:val="20"/>
        <w:sz w:val="20"/>
        <w:i w:val="false"/>
        <w:u w:val="none" w:color="000000"/>
        <w:b w:val="false"/>
        <w:szCs w:val="20"/>
        <w:highlight w:val="white"/>
        <w:rFonts w:eastAsia="Arial" w:cs="Arial"/>
        <w:color w:val="000000"/>
      </w:rPr>
    </w:lvl>
    <w:lvl w:ilvl="8">
      <w:start w:val="1"/>
      <w:numFmt w:val="lowerRoman"/>
      <w:lvlText w:val="%9"/>
      <w:lvlJc w:val="left"/>
      <w:pPr>
        <w:ind w:left="6686" w:hanging="360"/>
      </w:pPr>
      <w:rPr>
        <w:dstrike w:val="false"/>
        <w:strike w:val="false"/>
        <w:vertAlign w:val="baseline"/>
        <w:position w:val="0"/>
        <w:sz w:val="20"/>
        <w:sz w:val="20"/>
        <w:i w:val="false"/>
        <w:u w:val="none" w:color="000000"/>
        <w:b w:val="false"/>
        <w:szCs w:val="20"/>
        <w:highlight w:val="white"/>
        <w:rFonts w:eastAsia="Arial" w:cs="Arial"/>
        <w:color w:val="000000"/>
      </w:rPr>
    </w:lvl>
  </w:abstractNum>
  <w:abstractNum w:abstractNumId="2">
    <w:lvl w:ilvl="0">
      <w:start w:val="2"/>
      <w:numFmt w:val="decimal"/>
      <w:lvlText w:val="%1"/>
      <w:lvlJc w:val="left"/>
      <w:pPr>
        <w:ind w:left="360" w:hanging="360"/>
      </w:pPr>
      <w:rPr>
        <w:dstrike w:val="false"/>
        <w:strike w:val="false"/>
        <w:vertAlign w:val="baseline"/>
        <w:position w:val="0"/>
        <w:sz w:val="20"/>
        <w:sz w:val="20"/>
        <w:i w:val="false"/>
        <w:u w:val="none" w:color="000000"/>
        <w:b/>
        <w:szCs w:val="20"/>
        <w:bCs/>
        <w:highlight w:val="white"/>
        <w:rFonts w:eastAsia="Arial" w:cs="Arial"/>
        <w:color w:val="000000"/>
      </w:rPr>
    </w:lvl>
    <w:lvl w:ilvl="1">
      <w:start w:val="7"/>
      <w:numFmt w:val="decimal"/>
      <w:lvlText w:val="%1.%2."/>
      <w:lvlJc w:val="left"/>
      <w:pPr>
        <w:ind w:left="976" w:hanging="360"/>
      </w:pPr>
      <w:rPr>
        <w:dstrike w:val="false"/>
        <w:strike w:val="false"/>
        <w:vertAlign w:val="baseline"/>
        <w:position w:val="0"/>
        <w:sz w:val="20"/>
        <w:sz w:val="20"/>
        <w:i w:val="false"/>
        <w:u w:val="none" w:color="000000"/>
        <w:b/>
        <w:szCs w:val="20"/>
        <w:bCs/>
        <w:highlight w:val="white"/>
        <w:rFonts w:eastAsia="Arial" w:cs="Arial"/>
        <w:color w:val="000000"/>
      </w:rPr>
    </w:lvl>
    <w:lvl w:ilvl="2">
      <w:start w:val="1"/>
      <w:numFmt w:val="lowerRoman"/>
      <w:lvlText w:val="%3"/>
      <w:lvlJc w:val="left"/>
      <w:pPr>
        <w:ind w:left="1080" w:hanging="360"/>
      </w:pPr>
      <w:rPr>
        <w:dstrike w:val="false"/>
        <w:strike w:val="false"/>
        <w:vertAlign w:val="baseline"/>
        <w:position w:val="0"/>
        <w:sz w:val="20"/>
        <w:sz w:val="20"/>
        <w:i w:val="false"/>
        <w:u w:val="none" w:color="000000"/>
        <w:b/>
        <w:szCs w:val="20"/>
        <w:bCs/>
        <w:highlight w:val="white"/>
        <w:rFonts w:eastAsia="Arial" w:cs="Arial"/>
        <w:color w:val="000000"/>
      </w:rPr>
    </w:lvl>
    <w:lvl w:ilvl="3">
      <w:start w:val="1"/>
      <w:numFmt w:val="decimal"/>
      <w:lvlText w:val="%4"/>
      <w:lvlJc w:val="left"/>
      <w:pPr>
        <w:ind w:left="1800" w:hanging="360"/>
      </w:pPr>
      <w:rPr>
        <w:dstrike w:val="false"/>
        <w:strike w:val="false"/>
        <w:vertAlign w:val="baseline"/>
        <w:position w:val="0"/>
        <w:sz w:val="20"/>
        <w:sz w:val="20"/>
        <w:i w:val="false"/>
        <w:u w:val="none" w:color="000000"/>
        <w:b/>
        <w:szCs w:val="20"/>
        <w:bCs/>
        <w:highlight w:val="white"/>
        <w:rFonts w:eastAsia="Arial" w:cs="Arial"/>
        <w:color w:val="000000"/>
      </w:rPr>
    </w:lvl>
    <w:lvl w:ilvl="4">
      <w:start w:val="1"/>
      <w:numFmt w:val="lowerLetter"/>
      <w:lvlText w:val="%5"/>
      <w:lvlJc w:val="left"/>
      <w:pPr>
        <w:ind w:left="2520" w:hanging="360"/>
      </w:pPr>
      <w:rPr>
        <w:dstrike w:val="false"/>
        <w:strike w:val="false"/>
        <w:vertAlign w:val="baseline"/>
        <w:position w:val="0"/>
        <w:sz w:val="20"/>
        <w:sz w:val="20"/>
        <w:i w:val="false"/>
        <w:u w:val="none" w:color="000000"/>
        <w:b/>
        <w:szCs w:val="20"/>
        <w:bCs/>
        <w:highlight w:val="white"/>
        <w:rFonts w:eastAsia="Arial" w:cs="Arial"/>
        <w:color w:val="000000"/>
      </w:rPr>
    </w:lvl>
    <w:lvl w:ilvl="5">
      <w:start w:val="1"/>
      <w:numFmt w:val="lowerRoman"/>
      <w:lvlText w:val="%6"/>
      <w:lvlJc w:val="left"/>
      <w:pPr>
        <w:ind w:left="3240" w:hanging="360"/>
      </w:pPr>
      <w:rPr>
        <w:dstrike w:val="false"/>
        <w:strike w:val="false"/>
        <w:vertAlign w:val="baseline"/>
        <w:position w:val="0"/>
        <w:sz w:val="20"/>
        <w:sz w:val="20"/>
        <w:i w:val="false"/>
        <w:u w:val="none" w:color="000000"/>
        <w:b/>
        <w:szCs w:val="20"/>
        <w:bCs/>
        <w:highlight w:val="white"/>
        <w:rFonts w:eastAsia="Arial" w:cs="Arial"/>
        <w:color w:val="000000"/>
      </w:rPr>
    </w:lvl>
    <w:lvl w:ilvl="6">
      <w:start w:val="1"/>
      <w:numFmt w:val="decimal"/>
      <w:lvlText w:val="%7"/>
      <w:lvlJc w:val="left"/>
      <w:pPr>
        <w:ind w:left="3960" w:hanging="360"/>
      </w:pPr>
      <w:rPr>
        <w:dstrike w:val="false"/>
        <w:strike w:val="false"/>
        <w:vertAlign w:val="baseline"/>
        <w:position w:val="0"/>
        <w:sz w:val="20"/>
        <w:sz w:val="20"/>
        <w:i w:val="false"/>
        <w:u w:val="none" w:color="000000"/>
        <w:b/>
        <w:szCs w:val="20"/>
        <w:bCs/>
        <w:highlight w:val="white"/>
        <w:rFonts w:eastAsia="Arial" w:cs="Arial"/>
        <w:color w:val="000000"/>
      </w:rPr>
    </w:lvl>
    <w:lvl w:ilvl="7">
      <w:start w:val="1"/>
      <w:numFmt w:val="lowerLetter"/>
      <w:lvlText w:val="%8"/>
      <w:lvlJc w:val="left"/>
      <w:pPr>
        <w:ind w:left="4680" w:hanging="360"/>
      </w:pPr>
      <w:rPr>
        <w:dstrike w:val="false"/>
        <w:strike w:val="false"/>
        <w:vertAlign w:val="baseline"/>
        <w:position w:val="0"/>
        <w:sz w:val="20"/>
        <w:sz w:val="20"/>
        <w:i w:val="false"/>
        <w:u w:val="none" w:color="000000"/>
        <w:b/>
        <w:szCs w:val="20"/>
        <w:bCs/>
        <w:highlight w:val="white"/>
        <w:rFonts w:eastAsia="Arial" w:cs="Arial"/>
        <w:color w:val="000000"/>
      </w:rPr>
    </w:lvl>
    <w:lvl w:ilvl="8">
      <w:start w:val="1"/>
      <w:numFmt w:val="lowerRoman"/>
      <w:lvlText w:val="%9"/>
      <w:lvlJc w:val="left"/>
      <w:pPr>
        <w:ind w:left="5400" w:hanging="360"/>
      </w:pPr>
      <w:rPr>
        <w:dstrike w:val="false"/>
        <w:strike w:val="false"/>
        <w:vertAlign w:val="baseline"/>
        <w:position w:val="0"/>
        <w:sz w:val="20"/>
        <w:sz w:val="20"/>
        <w:i w:val="false"/>
        <w:u w:val="none" w:color="000000"/>
        <w:b/>
        <w:szCs w:val="20"/>
        <w:bCs/>
        <w:highlight w:val="white"/>
        <w:rFonts w:eastAsia="Arial" w:cs="Arial"/>
        <w:color w:val="000000"/>
      </w:rPr>
    </w:lvl>
  </w:abstractNum>
  <w:abstractNum w:abstractNumId="3">
    <w:lvl w:ilvl="0">
      <w:start w:val="1"/>
      <w:numFmt w:val="bullet"/>
      <w:lvlText w:val="–"/>
      <w:lvlJc w:val="left"/>
      <w:pPr>
        <w:ind w:left="1255"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1">
      <w:start w:val="1"/>
      <w:numFmt w:val="bullet"/>
      <w:lvlText w:val="o"/>
      <w:lvlJc w:val="left"/>
      <w:pPr>
        <w:ind w:left="16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2">
      <w:start w:val="1"/>
      <w:numFmt w:val="bullet"/>
      <w:lvlText w:val="▪"/>
      <w:lvlJc w:val="left"/>
      <w:pPr>
        <w:ind w:left="23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3">
      <w:start w:val="1"/>
      <w:numFmt w:val="bullet"/>
      <w:lvlText w:val="•"/>
      <w:lvlJc w:val="left"/>
      <w:pPr>
        <w:ind w:left="30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4">
      <w:start w:val="1"/>
      <w:numFmt w:val="bullet"/>
      <w:lvlText w:val="o"/>
      <w:lvlJc w:val="left"/>
      <w:pPr>
        <w:ind w:left="380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5">
      <w:start w:val="1"/>
      <w:numFmt w:val="bullet"/>
      <w:lvlText w:val="▪"/>
      <w:lvlJc w:val="left"/>
      <w:pPr>
        <w:ind w:left="452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6">
      <w:start w:val="1"/>
      <w:numFmt w:val="bullet"/>
      <w:lvlText w:val="•"/>
      <w:lvlJc w:val="left"/>
      <w:pPr>
        <w:ind w:left="52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7">
      <w:start w:val="1"/>
      <w:numFmt w:val="bullet"/>
      <w:lvlText w:val="o"/>
      <w:lvlJc w:val="left"/>
      <w:pPr>
        <w:ind w:left="59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8">
      <w:start w:val="1"/>
      <w:numFmt w:val="bullet"/>
      <w:lvlText w:val="▪"/>
      <w:lvlJc w:val="left"/>
      <w:pPr>
        <w:ind w:left="66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abstractNum>
  <w:abstractNum w:abstractNumId="4">
    <w:lvl w:ilvl="0">
      <w:start w:val="1"/>
      <w:numFmt w:val="bullet"/>
      <w:lvlText w:val="–"/>
      <w:lvlJc w:val="left"/>
      <w:pPr>
        <w:ind w:left="1255"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1">
      <w:start w:val="1"/>
      <w:numFmt w:val="bullet"/>
      <w:lvlText w:val="o"/>
      <w:lvlJc w:val="left"/>
      <w:pPr>
        <w:ind w:left="16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2">
      <w:start w:val="1"/>
      <w:numFmt w:val="bullet"/>
      <w:lvlText w:val="▪"/>
      <w:lvlJc w:val="left"/>
      <w:pPr>
        <w:ind w:left="23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3">
      <w:start w:val="1"/>
      <w:numFmt w:val="bullet"/>
      <w:lvlText w:val="•"/>
      <w:lvlJc w:val="left"/>
      <w:pPr>
        <w:ind w:left="30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4">
      <w:start w:val="1"/>
      <w:numFmt w:val="bullet"/>
      <w:lvlText w:val="o"/>
      <w:lvlJc w:val="left"/>
      <w:pPr>
        <w:ind w:left="380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5">
      <w:start w:val="1"/>
      <w:numFmt w:val="bullet"/>
      <w:lvlText w:val="▪"/>
      <w:lvlJc w:val="left"/>
      <w:pPr>
        <w:ind w:left="452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6">
      <w:start w:val="1"/>
      <w:numFmt w:val="bullet"/>
      <w:lvlText w:val="•"/>
      <w:lvlJc w:val="left"/>
      <w:pPr>
        <w:ind w:left="52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7">
      <w:start w:val="1"/>
      <w:numFmt w:val="bullet"/>
      <w:lvlText w:val="o"/>
      <w:lvlJc w:val="left"/>
      <w:pPr>
        <w:ind w:left="59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8">
      <w:start w:val="1"/>
      <w:numFmt w:val="bullet"/>
      <w:lvlText w:val="▪"/>
      <w:lvlJc w:val="left"/>
      <w:pPr>
        <w:ind w:left="66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abstractNum>
  <w:abstractNum w:abstractNumId="5">
    <w:lvl w:ilvl="0">
      <w:start w:val="1"/>
      <w:numFmt w:val="lowerLetter"/>
      <w:lvlText w:val="%1)"/>
      <w:lvlJc w:val="left"/>
      <w:pPr>
        <w:ind w:left="683" w:hanging="360"/>
      </w:pPr>
      <w:rPr>
        <w:dstrike w:val="false"/>
        <w:strike w:val="false"/>
        <w:vertAlign w:val="baseline"/>
        <w:position w:val="0"/>
        <w:sz w:val="20"/>
        <w:sz w:val="20"/>
        <w:i w:val="false"/>
        <w:u w:val="none" w:color="000000"/>
        <w:b w:val="false"/>
        <w:szCs w:val="20"/>
        <w:highlight w:val="white"/>
        <w:rFonts w:eastAsia="Arial" w:cs="Arial"/>
        <w:color w:val="000000"/>
      </w:rPr>
    </w:lvl>
    <w:lvl w:ilvl="1">
      <w:start w:val="1"/>
      <w:numFmt w:val="lowerLetter"/>
      <w:lvlText w:val="%2"/>
      <w:lvlJc w:val="left"/>
      <w:pPr>
        <w:ind w:left="1080" w:hanging="360"/>
      </w:pPr>
      <w:rPr>
        <w:dstrike w:val="false"/>
        <w:strike w:val="false"/>
        <w:vertAlign w:val="baseline"/>
        <w:position w:val="0"/>
        <w:sz w:val="20"/>
        <w:sz w:val="20"/>
        <w:i w:val="false"/>
        <w:u w:val="none" w:color="000000"/>
        <w:b w:val="false"/>
        <w:szCs w:val="20"/>
        <w:highlight w:val="white"/>
        <w:rFonts w:eastAsia="Arial" w:cs="Arial"/>
        <w:color w:val="000000"/>
      </w:rPr>
    </w:lvl>
    <w:lvl w:ilvl="2">
      <w:start w:val="1"/>
      <w:numFmt w:val="lowerRoman"/>
      <w:lvlText w:val="%3"/>
      <w:lvlJc w:val="left"/>
      <w:pPr>
        <w:ind w:left="1800" w:hanging="360"/>
      </w:pPr>
      <w:rPr>
        <w:dstrike w:val="false"/>
        <w:strike w:val="false"/>
        <w:vertAlign w:val="baseline"/>
        <w:position w:val="0"/>
        <w:sz w:val="20"/>
        <w:sz w:val="20"/>
        <w:i w:val="false"/>
        <w:u w:val="none" w:color="000000"/>
        <w:b w:val="false"/>
        <w:szCs w:val="20"/>
        <w:highlight w:val="white"/>
        <w:rFonts w:eastAsia="Arial" w:cs="Arial"/>
        <w:color w:val="000000"/>
      </w:rPr>
    </w:lvl>
    <w:lvl w:ilvl="3">
      <w:start w:val="1"/>
      <w:numFmt w:val="decimal"/>
      <w:lvlText w:val="%4"/>
      <w:lvlJc w:val="left"/>
      <w:pPr>
        <w:ind w:left="2520" w:hanging="360"/>
      </w:pPr>
      <w:rPr>
        <w:dstrike w:val="false"/>
        <w:strike w:val="false"/>
        <w:vertAlign w:val="baseline"/>
        <w:position w:val="0"/>
        <w:sz w:val="20"/>
        <w:sz w:val="20"/>
        <w:i w:val="false"/>
        <w:u w:val="none" w:color="000000"/>
        <w:b w:val="false"/>
        <w:szCs w:val="20"/>
        <w:highlight w:val="white"/>
        <w:rFonts w:eastAsia="Arial" w:cs="Arial"/>
        <w:color w:val="000000"/>
      </w:rPr>
    </w:lvl>
    <w:lvl w:ilvl="4">
      <w:start w:val="1"/>
      <w:numFmt w:val="lowerLetter"/>
      <w:lvlText w:val="%5"/>
      <w:lvlJc w:val="left"/>
      <w:pPr>
        <w:ind w:left="3240" w:hanging="360"/>
      </w:pPr>
      <w:rPr>
        <w:dstrike w:val="false"/>
        <w:strike w:val="false"/>
        <w:vertAlign w:val="baseline"/>
        <w:position w:val="0"/>
        <w:sz w:val="20"/>
        <w:sz w:val="20"/>
        <w:i w:val="false"/>
        <w:u w:val="none" w:color="000000"/>
        <w:b w:val="false"/>
        <w:szCs w:val="20"/>
        <w:highlight w:val="white"/>
        <w:rFonts w:eastAsia="Arial" w:cs="Arial"/>
        <w:color w:val="000000"/>
      </w:rPr>
    </w:lvl>
    <w:lvl w:ilvl="5">
      <w:start w:val="1"/>
      <w:numFmt w:val="lowerRoman"/>
      <w:lvlText w:val="%6"/>
      <w:lvlJc w:val="left"/>
      <w:pPr>
        <w:ind w:left="3960" w:hanging="360"/>
      </w:pPr>
      <w:rPr>
        <w:dstrike w:val="false"/>
        <w:strike w:val="false"/>
        <w:vertAlign w:val="baseline"/>
        <w:position w:val="0"/>
        <w:sz w:val="20"/>
        <w:sz w:val="20"/>
        <w:i w:val="false"/>
        <w:u w:val="none" w:color="000000"/>
        <w:b w:val="false"/>
        <w:szCs w:val="20"/>
        <w:highlight w:val="white"/>
        <w:rFonts w:eastAsia="Arial" w:cs="Arial"/>
        <w:color w:val="000000"/>
      </w:rPr>
    </w:lvl>
    <w:lvl w:ilvl="6">
      <w:start w:val="1"/>
      <w:numFmt w:val="decimal"/>
      <w:lvlText w:val="%7"/>
      <w:lvlJc w:val="left"/>
      <w:pPr>
        <w:ind w:left="4680" w:hanging="360"/>
      </w:pPr>
      <w:rPr>
        <w:dstrike w:val="false"/>
        <w:strike w:val="false"/>
        <w:vertAlign w:val="baseline"/>
        <w:position w:val="0"/>
        <w:sz w:val="20"/>
        <w:sz w:val="20"/>
        <w:i w:val="false"/>
        <w:u w:val="none" w:color="000000"/>
        <w:b w:val="false"/>
        <w:szCs w:val="20"/>
        <w:highlight w:val="white"/>
        <w:rFonts w:eastAsia="Arial" w:cs="Arial"/>
        <w:color w:val="000000"/>
      </w:rPr>
    </w:lvl>
    <w:lvl w:ilvl="7">
      <w:start w:val="1"/>
      <w:numFmt w:val="lowerLetter"/>
      <w:lvlText w:val="%8"/>
      <w:lvlJc w:val="left"/>
      <w:pPr>
        <w:ind w:left="5400" w:hanging="360"/>
      </w:pPr>
      <w:rPr>
        <w:dstrike w:val="false"/>
        <w:strike w:val="false"/>
        <w:vertAlign w:val="baseline"/>
        <w:position w:val="0"/>
        <w:sz w:val="20"/>
        <w:sz w:val="20"/>
        <w:i w:val="false"/>
        <w:u w:val="none" w:color="000000"/>
        <w:b w:val="false"/>
        <w:szCs w:val="20"/>
        <w:highlight w:val="white"/>
        <w:rFonts w:eastAsia="Arial" w:cs="Arial"/>
        <w:color w:val="000000"/>
      </w:rPr>
    </w:lvl>
    <w:lvl w:ilvl="8">
      <w:start w:val="1"/>
      <w:numFmt w:val="lowerRoman"/>
      <w:lvlText w:val="%9"/>
      <w:lvlJc w:val="left"/>
      <w:pPr>
        <w:ind w:left="6120" w:hanging="360"/>
      </w:pPr>
      <w:rPr>
        <w:dstrike w:val="false"/>
        <w:strike w:val="false"/>
        <w:vertAlign w:val="baseline"/>
        <w:position w:val="0"/>
        <w:sz w:val="20"/>
        <w:sz w:val="20"/>
        <w:i w:val="false"/>
        <w:u w:val="none" w:color="000000"/>
        <w:b w:val="false"/>
        <w:szCs w:val="20"/>
        <w:highlight w:val="white"/>
        <w:rFonts w:eastAsia="Arial" w:cs="Arial"/>
        <w:color w:val="000000"/>
      </w:rPr>
    </w:lvl>
  </w:abstractNum>
  <w:abstractNum w:abstractNumId="6">
    <w:lvl w:ilvl="0">
      <w:start w:val="1"/>
      <w:numFmt w:val="bullet"/>
      <w:lvlText w:val="–"/>
      <w:lvlJc w:val="left"/>
      <w:pPr>
        <w:ind w:left="1255"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1">
      <w:start w:val="1"/>
      <w:numFmt w:val="bullet"/>
      <w:lvlText w:val="o"/>
      <w:lvlJc w:val="left"/>
      <w:pPr>
        <w:ind w:left="16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2">
      <w:start w:val="1"/>
      <w:numFmt w:val="bullet"/>
      <w:lvlText w:val="▪"/>
      <w:lvlJc w:val="left"/>
      <w:pPr>
        <w:ind w:left="23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3">
      <w:start w:val="1"/>
      <w:numFmt w:val="bullet"/>
      <w:lvlText w:val="•"/>
      <w:lvlJc w:val="left"/>
      <w:pPr>
        <w:ind w:left="30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4">
      <w:start w:val="1"/>
      <w:numFmt w:val="bullet"/>
      <w:lvlText w:val="o"/>
      <w:lvlJc w:val="left"/>
      <w:pPr>
        <w:ind w:left="380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5">
      <w:start w:val="1"/>
      <w:numFmt w:val="bullet"/>
      <w:lvlText w:val="▪"/>
      <w:lvlJc w:val="left"/>
      <w:pPr>
        <w:ind w:left="452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6">
      <w:start w:val="1"/>
      <w:numFmt w:val="bullet"/>
      <w:lvlText w:val="•"/>
      <w:lvlJc w:val="left"/>
      <w:pPr>
        <w:ind w:left="52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7">
      <w:start w:val="1"/>
      <w:numFmt w:val="bullet"/>
      <w:lvlText w:val="o"/>
      <w:lvlJc w:val="left"/>
      <w:pPr>
        <w:ind w:left="59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8">
      <w:start w:val="1"/>
      <w:numFmt w:val="bullet"/>
      <w:lvlText w:val="▪"/>
      <w:lvlJc w:val="left"/>
      <w:pPr>
        <w:ind w:left="66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abstractNum>
  <w:abstractNum w:abstractNumId="7">
    <w:lvl w:ilvl="0">
      <w:start w:val="1"/>
      <w:numFmt w:val="lowerLetter"/>
      <w:lvlText w:val="%1)"/>
      <w:lvlJc w:val="left"/>
      <w:pPr>
        <w:ind w:left="1394" w:hanging="360"/>
      </w:pPr>
      <w:rPr>
        <w:dstrike w:val="false"/>
        <w:strike w:val="false"/>
        <w:vertAlign w:val="baseline"/>
        <w:position w:val="0"/>
        <w:sz w:val="20"/>
        <w:sz w:val="20"/>
        <w:i w:val="false"/>
        <w:u w:val="none" w:color="000000"/>
        <w:b w:val="false"/>
        <w:szCs w:val="20"/>
        <w:highlight w:val="white"/>
        <w:rFonts w:eastAsia="Arial" w:cs="Arial"/>
        <w:color w:val="000000"/>
      </w:rPr>
    </w:lvl>
    <w:lvl w:ilvl="1">
      <w:start w:val="1"/>
      <w:numFmt w:val="lowerLetter"/>
      <w:lvlText w:val="%2"/>
      <w:lvlJc w:val="left"/>
      <w:pPr>
        <w:ind w:left="1646" w:hanging="360"/>
      </w:pPr>
      <w:rPr>
        <w:dstrike w:val="false"/>
        <w:strike w:val="false"/>
        <w:vertAlign w:val="baseline"/>
        <w:position w:val="0"/>
        <w:sz w:val="20"/>
        <w:sz w:val="20"/>
        <w:i w:val="false"/>
        <w:u w:val="none" w:color="000000"/>
        <w:b w:val="false"/>
        <w:szCs w:val="20"/>
        <w:highlight w:val="white"/>
        <w:rFonts w:eastAsia="Arial" w:cs="Arial"/>
        <w:color w:val="000000"/>
      </w:rPr>
    </w:lvl>
    <w:lvl w:ilvl="2">
      <w:start w:val="1"/>
      <w:numFmt w:val="lowerRoman"/>
      <w:lvlText w:val="%3"/>
      <w:lvlJc w:val="left"/>
      <w:pPr>
        <w:ind w:left="2366" w:hanging="360"/>
      </w:pPr>
      <w:rPr>
        <w:dstrike w:val="false"/>
        <w:strike w:val="false"/>
        <w:vertAlign w:val="baseline"/>
        <w:position w:val="0"/>
        <w:sz w:val="20"/>
        <w:sz w:val="20"/>
        <w:i w:val="false"/>
        <w:u w:val="none" w:color="000000"/>
        <w:b w:val="false"/>
        <w:szCs w:val="20"/>
        <w:highlight w:val="white"/>
        <w:rFonts w:eastAsia="Arial" w:cs="Arial"/>
        <w:color w:val="000000"/>
      </w:rPr>
    </w:lvl>
    <w:lvl w:ilvl="3">
      <w:start w:val="1"/>
      <w:numFmt w:val="decimal"/>
      <w:lvlText w:val="%4"/>
      <w:lvlJc w:val="left"/>
      <w:pPr>
        <w:ind w:left="3086" w:hanging="360"/>
      </w:pPr>
      <w:rPr>
        <w:dstrike w:val="false"/>
        <w:strike w:val="false"/>
        <w:vertAlign w:val="baseline"/>
        <w:position w:val="0"/>
        <w:sz w:val="20"/>
        <w:sz w:val="20"/>
        <w:i w:val="false"/>
        <w:u w:val="none" w:color="000000"/>
        <w:b w:val="false"/>
        <w:szCs w:val="20"/>
        <w:highlight w:val="white"/>
        <w:rFonts w:eastAsia="Arial" w:cs="Arial"/>
        <w:color w:val="000000"/>
      </w:rPr>
    </w:lvl>
    <w:lvl w:ilvl="4">
      <w:start w:val="1"/>
      <w:numFmt w:val="lowerLetter"/>
      <w:lvlText w:val="%5"/>
      <w:lvlJc w:val="left"/>
      <w:pPr>
        <w:ind w:left="3806" w:hanging="360"/>
      </w:pPr>
      <w:rPr>
        <w:dstrike w:val="false"/>
        <w:strike w:val="false"/>
        <w:vertAlign w:val="baseline"/>
        <w:position w:val="0"/>
        <w:sz w:val="20"/>
        <w:sz w:val="20"/>
        <w:i w:val="false"/>
        <w:u w:val="none" w:color="000000"/>
        <w:b w:val="false"/>
        <w:szCs w:val="20"/>
        <w:highlight w:val="white"/>
        <w:rFonts w:eastAsia="Arial" w:cs="Arial"/>
        <w:color w:val="000000"/>
      </w:rPr>
    </w:lvl>
    <w:lvl w:ilvl="5">
      <w:start w:val="1"/>
      <w:numFmt w:val="lowerRoman"/>
      <w:lvlText w:val="%6"/>
      <w:lvlJc w:val="left"/>
      <w:pPr>
        <w:ind w:left="4526" w:hanging="360"/>
      </w:pPr>
      <w:rPr>
        <w:dstrike w:val="false"/>
        <w:strike w:val="false"/>
        <w:vertAlign w:val="baseline"/>
        <w:position w:val="0"/>
        <w:sz w:val="20"/>
        <w:sz w:val="20"/>
        <w:i w:val="false"/>
        <w:u w:val="none" w:color="000000"/>
        <w:b w:val="false"/>
        <w:szCs w:val="20"/>
        <w:highlight w:val="white"/>
        <w:rFonts w:eastAsia="Arial" w:cs="Arial"/>
        <w:color w:val="000000"/>
      </w:rPr>
    </w:lvl>
    <w:lvl w:ilvl="6">
      <w:start w:val="1"/>
      <w:numFmt w:val="decimal"/>
      <w:lvlText w:val="%7"/>
      <w:lvlJc w:val="left"/>
      <w:pPr>
        <w:ind w:left="5246" w:hanging="360"/>
      </w:pPr>
      <w:rPr>
        <w:dstrike w:val="false"/>
        <w:strike w:val="false"/>
        <w:vertAlign w:val="baseline"/>
        <w:position w:val="0"/>
        <w:sz w:val="20"/>
        <w:sz w:val="20"/>
        <w:i w:val="false"/>
        <w:u w:val="none" w:color="000000"/>
        <w:b w:val="false"/>
        <w:szCs w:val="20"/>
        <w:highlight w:val="white"/>
        <w:rFonts w:eastAsia="Arial" w:cs="Arial"/>
        <w:color w:val="000000"/>
      </w:rPr>
    </w:lvl>
    <w:lvl w:ilvl="7">
      <w:start w:val="1"/>
      <w:numFmt w:val="lowerLetter"/>
      <w:lvlText w:val="%8"/>
      <w:lvlJc w:val="left"/>
      <w:pPr>
        <w:ind w:left="5966" w:hanging="360"/>
      </w:pPr>
      <w:rPr>
        <w:dstrike w:val="false"/>
        <w:strike w:val="false"/>
        <w:vertAlign w:val="baseline"/>
        <w:position w:val="0"/>
        <w:sz w:val="20"/>
        <w:sz w:val="20"/>
        <w:i w:val="false"/>
        <w:u w:val="none" w:color="000000"/>
        <w:b w:val="false"/>
        <w:szCs w:val="20"/>
        <w:highlight w:val="white"/>
        <w:rFonts w:eastAsia="Arial" w:cs="Arial"/>
        <w:color w:val="000000"/>
      </w:rPr>
    </w:lvl>
    <w:lvl w:ilvl="8">
      <w:start w:val="1"/>
      <w:numFmt w:val="lowerRoman"/>
      <w:lvlText w:val="%9"/>
      <w:lvlJc w:val="left"/>
      <w:pPr>
        <w:ind w:left="6686" w:hanging="360"/>
      </w:pPr>
      <w:rPr>
        <w:dstrike w:val="false"/>
        <w:strike w:val="false"/>
        <w:vertAlign w:val="baseline"/>
        <w:position w:val="0"/>
        <w:sz w:val="20"/>
        <w:sz w:val="20"/>
        <w:i w:val="false"/>
        <w:u w:val="none" w:color="000000"/>
        <w:b w:val="false"/>
        <w:szCs w:val="20"/>
        <w:highlight w:val="white"/>
        <w:rFonts w:eastAsia="Arial" w:cs="Arial"/>
        <w:color w:val="000000"/>
      </w:rPr>
    </w:lvl>
  </w:abstractNum>
  <w:abstractNum w:abstractNumId="8">
    <w:lvl w:ilvl="0">
      <w:start w:val="1"/>
      <w:numFmt w:val="bullet"/>
      <w:lvlText w:val="–"/>
      <w:lvlJc w:val="left"/>
      <w:pPr>
        <w:ind w:left="1394"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1">
      <w:start w:val="1"/>
      <w:numFmt w:val="bullet"/>
      <w:lvlText w:val="o"/>
      <w:lvlJc w:val="left"/>
      <w:pPr>
        <w:ind w:left="16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2">
      <w:start w:val="1"/>
      <w:numFmt w:val="bullet"/>
      <w:lvlText w:val="▪"/>
      <w:lvlJc w:val="left"/>
      <w:pPr>
        <w:ind w:left="23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3">
      <w:start w:val="1"/>
      <w:numFmt w:val="bullet"/>
      <w:lvlText w:val="•"/>
      <w:lvlJc w:val="left"/>
      <w:pPr>
        <w:ind w:left="30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4">
      <w:start w:val="1"/>
      <w:numFmt w:val="bullet"/>
      <w:lvlText w:val="o"/>
      <w:lvlJc w:val="left"/>
      <w:pPr>
        <w:ind w:left="380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5">
      <w:start w:val="1"/>
      <w:numFmt w:val="bullet"/>
      <w:lvlText w:val="▪"/>
      <w:lvlJc w:val="left"/>
      <w:pPr>
        <w:ind w:left="452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6">
      <w:start w:val="1"/>
      <w:numFmt w:val="bullet"/>
      <w:lvlText w:val="•"/>
      <w:lvlJc w:val="left"/>
      <w:pPr>
        <w:ind w:left="52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7">
      <w:start w:val="1"/>
      <w:numFmt w:val="bullet"/>
      <w:lvlText w:val="o"/>
      <w:lvlJc w:val="left"/>
      <w:pPr>
        <w:ind w:left="59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8">
      <w:start w:val="1"/>
      <w:numFmt w:val="bullet"/>
      <w:lvlText w:val="▪"/>
      <w:lvlJc w:val="left"/>
      <w:pPr>
        <w:ind w:left="66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abstractNum>
  <w:abstractNum w:abstractNumId="9">
    <w:lvl w:ilvl="0">
      <w:start w:val="1"/>
      <w:numFmt w:val="bullet"/>
      <w:lvlText w:val="–"/>
      <w:lvlJc w:val="left"/>
      <w:pPr>
        <w:ind w:left="1255"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1">
      <w:start w:val="1"/>
      <w:numFmt w:val="bullet"/>
      <w:lvlText w:val="o"/>
      <w:lvlJc w:val="left"/>
      <w:pPr>
        <w:ind w:left="16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2">
      <w:start w:val="1"/>
      <w:numFmt w:val="bullet"/>
      <w:lvlText w:val="▪"/>
      <w:lvlJc w:val="left"/>
      <w:pPr>
        <w:ind w:left="23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3">
      <w:start w:val="1"/>
      <w:numFmt w:val="bullet"/>
      <w:lvlText w:val="•"/>
      <w:lvlJc w:val="left"/>
      <w:pPr>
        <w:ind w:left="30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4">
      <w:start w:val="1"/>
      <w:numFmt w:val="bullet"/>
      <w:lvlText w:val="o"/>
      <w:lvlJc w:val="left"/>
      <w:pPr>
        <w:ind w:left="380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5">
      <w:start w:val="1"/>
      <w:numFmt w:val="bullet"/>
      <w:lvlText w:val="▪"/>
      <w:lvlJc w:val="left"/>
      <w:pPr>
        <w:ind w:left="452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6">
      <w:start w:val="1"/>
      <w:numFmt w:val="bullet"/>
      <w:lvlText w:val="•"/>
      <w:lvlJc w:val="left"/>
      <w:pPr>
        <w:ind w:left="524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7">
      <w:start w:val="1"/>
      <w:numFmt w:val="bullet"/>
      <w:lvlText w:val="o"/>
      <w:lvlJc w:val="left"/>
      <w:pPr>
        <w:ind w:left="596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lvl w:ilvl="8">
      <w:start w:val="1"/>
      <w:numFmt w:val="bullet"/>
      <w:lvlText w:val="▪"/>
      <w:lvlJc w:val="left"/>
      <w:pPr>
        <w:ind w:left="6686" w:hanging="360"/>
      </w:pPr>
      <w:rPr>
        <w:rFonts w:ascii="Times New Roman" w:hAnsi="Times New Roman" w:cs="Times New Roman" w:hint="default"/>
        <w:dstrike w:val="false"/>
        <w:strike w:val="false"/>
        <w:vertAlign w:val="baseline"/>
        <w:position w:val="0"/>
        <w:sz w:val="20"/>
        <w:sz w:val="20"/>
        <w:i w:val="false"/>
        <w:u w:val="none" w:color="000000"/>
        <w:b w:val="false"/>
        <w:szCs w:val="20"/>
        <w:highlight w:val="white"/>
        <w:rFonts w:cs="Times New Roman"/>
        <w:color w:val="000000"/>
      </w:rPr>
    </w:lvl>
  </w:abstractNum>
  <w:abstractNum w:abstractNumId="10">
    <w:lvl w:ilvl="0">
      <w:start w:val="2"/>
      <w:numFmt w:val="decimal"/>
      <w:lvlText w:val="%1."/>
      <w:lvlJc w:val="left"/>
      <w:pPr>
        <w:ind w:left="789" w:hanging="360"/>
      </w:pPr>
      <w:rPr>
        <w:dstrike w:val="false"/>
        <w:strike w:val="false"/>
        <w:vertAlign w:val="baseline"/>
        <w:position w:val="0"/>
        <w:sz w:val="20"/>
        <w:sz w:val="20"/>
        <w:i w:val="false"/>
        <w:u w:val="none" w:color="000000"/>
        <w:b w:val="false"/>
        <w:szCs w:val="20"/>
        <w:highlight w:val="white"/>
        <w:rFonts w:eastAsia="Arial" w:cs="Arial"/>
        <w:color w:val="000000"/>
      </w:rPr>
    </w:lvl>
    <w:lvl w:ilvl="1">
      <w:start w:val="1"/>
      <w:numFmt w:val="lowerLetter"/>
      <w:lvlText w:val="%2"/>
      <w:lvlJc w:val="left"/>
      <w:pPr>
        <w:ind w:left="1080" w:hanging="360"/>
      </w:pPr>
      <w:rPr>
        <w:dstrike w:val="false"/>
        <w:strike w:val="false"/>
        <w:vertAlign w:val="baseline"/>
        <w:position w:val="0"/>
        <w:sz w:val="20"/>
        <w:sz w:val="20"/>
        <w:i w:val="false"/>
        <w:u w:val="none" w:color="000000"/>
        <w:b w:val="false"/>
        <w:szCs w:val="20"/>
        <w:highlight w:val="white"/>
        <w:rFonts w:eastAsia="Arial" w:cs="Arial"/>
        <w:color w:val="000000"/>
      </w:rPr>
    </w:lvl>
    <w:lvl w:ilvl="2">
      <w:start w:val="1"/>
      <w:numFmt w:val="lowerRoman"/>
      <w:lvlText w:val="%3"/>
      <w:lvlJc w:val="left"/>
      <w:pPr>
        <w:ind w:left="1800" w:hanging="360"/>
      </w:pPr>
      <w:rPr>
        <w:dstrike w:val="false"/>
        <w:strike w:val="false"/>
        <w:vertAlign w:val="baseline"/>
        <w:position w:val="0"/>
        <w:sz w:val="20"/>
        <w:sz w:val="20"/>
        <w:i w:val="false"/>
        <w:u w:val="none" w:color="000000"/>
        <w:b w:val="false"/>
        <w:szCs w:val="20"/>
        <w:highlight w:val="white"/>
        <w:rFonts w:eastAsia="Arial" w:cs="Arial"/>
        <w:color w:val="000000"/>
      </w:rPr>
    </w:lvl>
    <w:lvl w:ilvl="3">
      <w:start w:val="1"/>
      <w:numFmt w:val="decimal"/>
      <w:lvlText w:val="%4"/>
      <w:lvlJc w:val="left"/>
      <w:pPr>
        <w:ind w:left="2520" w:hanging="360"/>
      </w:pPr>
      <w:rPr>
        <w:dstrike w:val="false"/>
        <w:strike w:val="false"/>
        <w:vertAlign w:val="baseline"/>
        <w:position w:val="0"/>
        <w:sz w:val="20"/>
        <w:sz w:val="20"/>
        <w:i w:val="false"/>
        <w:u w:val="none" w:color="000000"/>
        <w:b w:val="false"/>
        <w:szCs w:val="20"/>
        <w:highlight w:val="white"/>
        <w:rFonts w:eastAsia="Arial" w:cs="Arial"/>
        <w:color w:val="000000"/>
      </w:rPr>
    </w:lvl>
    <w:lvl w:ilvl="4">
      <w:start w:val="1"/>
      <w:numFmt w:val="lowerLetter"/>
      <w:lvlText w:val="%5"/>
      <w:lvlJc w:val="left"/>
      <w:pPr>
        <w:ind w:left="3240" w:hanging="360"/>
      </w:pPr>
      <w:rPr>
        <w:dstrike w:val="false"/>
        <w:strike w:val="false"/>
        <w:vertAlign w:val="baseline"/>
        <w:position w:val="0"/>
        <w:sz w:val="20"/>
        <w:sz w:val="20"/>
        <w:i w:val="false"/>
        <w:u w:val="none" w:color="000000"/>
        <w:b w:val="false"/>
        <w:szCs w:val="20"/>
        <w:highlight w:val="white"/>
        <w:rFonts w:eastAsia="Arial" w:cs="Arial"/>
        <w:color w:val="000000"/>
      </w:rPr>
    </w:lvl>
    <w:lvl w:ilvl="5">
      <w:start w:val="1"/>
      <w:numFmt w:val="lowerRoman"/>
      <w:lvlText w:val="%6"/>
      <w:lvlJc w:val="left"/>
      <w:pPr>
        <w:ind w:left="3960" w:hanging="360"/>
      </w:pPr>
      <w:rPr>
        <w:dstrike w:val="false"/>
        <w:strike w:val="false"/>
        <w:vertAlign w:val="baseline"/>
        <w:position w:val="0"/>
        <w:sz w:val="20"/>
        <w:sz w:val="20"/>
        <w:i w:val="false"/>
        <w:u w:val="none" w:color="000000"/>
        <w:b w:val="false"/>
        <w:szCs w:val="20"/>
        <w:highlight w:val="white"/>
        <w:rFonts w:eastAsia="Arial" w:cs="Arial"/>
        <w:color w:val="000000"/>
      </w:rPr>
    </w:lvl>
    <w:lvl w:ilvl="6">
      <w:start w:val="1"/>
      <w:numFmt w:val="decimal"/>
      <w:lvlText w:val="%7"/>
      <w:lvlJc w:val="left"/>
      <w:pPr>
        <w:ind w:left="4680" w:hanging="360"/>
      </w:pPr>
      <w:rPr>
        <w:dstrike w:val="false"/>
        <w:strike w:val="false"/>
        <w:vertAlign w:val="baseline"/>
        <w:position w:val="0"/>
        <w:sz w:val="20"/>
        <w:sz w:val="20"/>
        <w:i w:val="false"/>
        <w:u w:val="none" w:color="000000"/>
        <w:b w:val="false"/>
        <w:szCs w:val="20"/>
        <w:highlight w:val="white"/>
        <w:rFonts w:eastAsia="Arial" w:cs="Arial"/>
        <w:color w:val="000000"/>
      </w:rPr>
    </w:lvl>
    <w:lvl w:ilvl="7">
      <w:start w:val="1"/>
      <w:numFmt w:val="lowerLetter"/>
      <w:lvlText w:val="%8"/>
      <w:lvlJc w:val="left"/>
      <w:pPr>
        <w:ind w:left="5400" w:hanging="360"/>
      </w:pPr>
      <w:rPr>
        <w:dstrike w:val="false"/>
        <w:strike w:val="false"/>
        <w:vertAlign w:val="baseline"/>
        <w:position w:val="0"/>
        <w:sz w:val="20"/>
        <w:sz w:val="20"/>
        <w:i w:val="false"/>
        <w:u w:val="none" w:color="000000"/>
        <w:b w:val="false"/>
        <w:szCs w:val="20"/>
        <w:highlight w:val="white"/>
        <w:rFonts w:eastAsia="Arial" w:cs="Arial"/>
        <w:color w:val="000000"/>
      </w:rPr>
    </w:lvl>
    <w:lvl w:ilvl="8">
      <w:start w:val="1"/>
      <w:numFmt w:val="lowerRoman"/>
      <w:lvlText w:val="%9"/>
      <w:lvlJc w:val="left"/>
      <w:pPr>
        <w:ind w:left="6120" w:hanging="360"/>
      </w:pPr>
      <w:rPr>
        <w:dstrike w:val="false"/>
        <w:strike w:val="false"/>
        <w:vertAlign w:val="baseline"/>
        <w:position w:val="0"/>
        <w:sz w:val="20"/>
        <w:sz w:val="20"/>
        <w:i w:val="false"/>
        <w:u w:val="none" w:color="000000"/>
        <w:b w:val="false"/>
        <w:szCs w:val="20"/>
        <w:highlight w:val="white"/>
        <w:rFonts w:eastAsia="Arial" w:cs="Arial"/>
        <w:color w:val="000000"/>
      </w:rPr>
    </w:lvl>
  </w:abstractNum>
  <w:abstractNum w:abstractNumId="11">
    <w:lvl w:ilvl="0">
      <w:start w:val="31"/>
      <w:numFmt w:val="decimal"/>
      <w:lvlText w:val="%1."/>
      <w:lvlJc w:val="left"/>
      <w:pPr>
        <w:ind w:left="789" w:hanging="360"/>
      </w:pPr>
      <w:rPr>
        <w:dstrike w:val="false"/>
        <w:strike w:val="false"/>
        <w:vertAlign w:val="baseline"/>
        <w:position w:val="0"/>
        <w:sz w:val="20"/>
        <w:sz w:val="20"/>
        <w:i w:val="false"/>
        <w:u w:val="none" w:color="000000"/>
        <w:b w:val="false"/>
        <w:szCs w:val="20"/>
        <w:highlight w:val="white"/>
        <w:rFonts w:eastAsia="Arial" w:cs="Arial"/>
        <w:color w:val="000000"/>
      </w:rPr>
    </w:lvl>
    <w:lvl w:ilvl="1">
      <w:start w:val="1"/>
      <w:numFmt w:val="lowerLetter"/>
      <w:lvlText w:val="%2"/>
      <w:lvlJc w:val="left"/>
      <w:pPr>
        <w:ind w:left="1080" w:hanging="360"/>
      </w:pPr>
      <w:rPr>
        <w:dstrike w:val="false"/>
        <w:strike w:val="false"/>
        <w:vertAlign w:val="baseline"/>
        <w:position w:val="0"/>
        <w:sz w:val="20"/>
        <w:sz w:val="20"/>
        <w:i w:val="false"/>
        <w:u w:val="none" w:color="000000"/>
        <w:b w:val="false"/>
        <w:szCs w:val="20"/>
        <w:highlight w:val="white"/>
        <w:rFonts w:eastAsia="Arial" w:cs="Arial"/>
        <w:color w:val="000000"/>
      </w:rPr>
    </w:lvl>
    <w:lvl w:ilvl="2">
      <w:start w:val="1"/>
      <w:numFmt w:val="lowerRoman"/>
      <w:lvlText w:val="%3"/>
      <w:lvlJc w:val="left"/>
      <w:pPr>
        <w:ind w:left="1800" w:hanging="360"/>
      </w:pPr>
      <w:rPr>
        <w:dstrike w:val="false"/>
        <w:strike w:val="false"/>
        <w:vertAlign w:val="baseline"/>
        <w:position w:val="0"/>
        <w:sz w:val="20"/>
        <w:sz w:val="20"/>
        <w:i w:val="false"/>
        <w:u w:val="none" w:color="000000"/>
        <w:b w:val="false"/>
        <w:szCs w:val="20"/>
        <w:highlight w:val="white"/>
        <w:rFonts w:eastAsia="Arial" w:cs="Arial"/>
        <w:color w:val="000000"/>
      </w:rPr>
    </w:lvl>
    <w:lvl w:ilvl="3">
      <w:start w:val="1"/>
      <w:numFmt w:val="decimal"/>
      <w:lvlText w:val="%4"/>
      <w:lvlJc w:val="left"/>
      <w:pPr>
        <w:ind w:left="2520" w:hanging="360"/>
      </w:pPr>
      <w:rPr>
        <w:dstrike w:val="false"/>
        <w:strike w:val="false"/>
        <w:vertAlign w:val="baseline"/>
        <w:position w:val="0"/>
        <w:sz w:val="20"/>
        <w:sz w:val="20"/>
        <w:i w:val="false"/>
        <w:u w:val="none" w:color="000000"/>
        <w:b w:val="false"/>
        <w:szCs w:val="20"/>
        <w:highlight w:val="white"/>
        <w:rFonts w:eastAsia="Arial" w:cs="Arial"/>
        <w:color w:val="000000"/>
      </w:rPr>
    </w:lvl>
    <w:lvl w:ilvl="4">
      <w:start w:val="1"/>
      <w:numFmt w:val="lowerLetter"/>
      <w:lvlText w:val="%5"/>
      <w:lvlJc w:val="left"/>
      <w:pPr>
        <w:ind w:left="3240" w:hanging="360"/>
      </w:pPr>
      <w:rPr>
        <w:dstrike w:val="false"/>
        <w:strike w:val="false"/>
        <w:vertAlign w:val="baseline"/>
        <w:position w:val="0"/>
        <w:sz w:val="20"/>
        <w:sz w:val="20"/>
        <w:i w:val="false"/>
        <w:u w:val="none" w:color="000000"/>
        <w:b w:val="false"/>
        <w:szCs w:val="20"/>
        <w:highlight w:val="white"/>
        <w:rFonts w:eastAsia="Arial" w:cs="Arial"/>
        <w:color w:val="000000"/>
      </w:rPr>
    </w:lvl>
    <w:lvl w:ilvl="5">
      <w:start w:val="1"/>
      <w:numFmt w:val="lowerRoman"/>
      <w:lvlText w:val="%6"/>
      <w:lvlJc w:val="left"/>
      <w:pPr>
        <w:ind w:left="3960" w:hanging="360"/>
      </w:pPr>
      <w:rPr>
        <w:dstrike w:val="false"/>
        <w:strike w:val="false"/>
        <w:vertAlign w:val="baseline"/>
        <w:position w:val="0"/>
        <w:sz w:val="20"/>
        <w:sz w:val="20"/>
        <w:i w:val="false"/>
        <w:u w:val="none" w:color="000000"/>
        <w:b w:val="false"/>
        <w:szCs w:val="20"/>
        <w:highlight w:val="white"/>
        <w:rFonts w:eastAsia="Arial" w:cs="Arial"/>
        <w:color w:val="000000"/>
      </w:rPr>
    </w:lvl>
    <w:lvl w:ilvl="6">
      <w:start w:val="1"/>
      <w:numFmt w:val="decimal"/>
      <w:lvlText w:val="%7"/>
      <w:lvlJc w:val="left"/>
      <w:pPr>
        <w:ind w:left="4680" w:hanging="360"/>
      </w:pPr>
      <w:rPr>
        <w:dstrike w:val="false"/>
        <w:strike w:val="false"/>
        <w:vertAlign w:val="baseline"/>
        <w:position w:val="0"/>
        <w:sz w:val="20"/>
        <w:sz w:val="20"/>
        <w:i w:val="false"/>
        <w:u w:val="none" w:color="000000"/>
        <w:b w:val="false"/>
        <w:szCs w:val="20"/>
        <w:highlight w:val="white"/>
        <w:rFonts w:eastAsia="Arial" w:cs="Arial"/>
        <w:color w:val="000000"/>
      </w:rPr>
    </w:lvl>
    <w:lvl w:ilvl="7">
      <w:start w:val="1"/>
      <w:numFmt w:val="lowerLetter"/>
      <w:lvlText w:val="%8"/>
      <w:lvlJc w:val="left"/>
      <w:pPr>
        <w:ind w:left="5400" w:hanging="360"/>
      </w:pPr>
      <w:rPr>
        <w:dstrike w:val="false"/>
        <w:strike w:val="false"/>
        <w:vertAlign w:val="baseline"/>
        <w:position w:val="0"/>
        <w:sz w:val="20"/>
        <w:sz w:val="20"/>
        <w:i w:val="false"/>
        <w:u w:val="none" w:color="000000"/>
        <w:b w:val="false"/>
        <w:szCs w:val="20"/>
        <w:highlight w:val="white"/>
        <w:rFonts w:eastAsia="Arial" w:cs="Arial"/>
        <w:color w:val="000000"/>
      </w:rPr>
    </w:lvl>
    <w:lvl w:ilvl="8">
      <w:start w:val="1"/>
      <w:numFmt w:val="lowerRoman"/>
      <w:lvlText w:val="%9"/>
      <w:lvlJc w:val="left"/>
      <w:pPr>
        <w:ind w:left="6120" w:hanging="360"/>
      </w:pPr>
      <w:rPr>
        <w:dstrike w:val="false"/>
        <w:strike w:val="false"/>
        <w:vertAlign w:val="baseline"/>
        <w:position w:val="0"/>
        <w:sz w:val="20"/>
        <w:sz w:val="20"/>
        <w:i w:val="false"/>
        <w:u w:val="none" w:color="000000"/>
        <w:b w:val="false"/>
        <w:szCs w:val="20"/>
        <w:highlight w:val="white"/>
        <w:rFonts w:eastAsia="Arial" w:cs="Arial"/>
        <w:color w:val="000000"/>
      </w:rPr>
    </w:lvl>
  </w:abstractNum>
  <w:abstractNum w:abstractNumId="12">
    <w:lvl w:ilvl="0">
      <w:start w:val="64"/>
      <w:numFmt w:val="decimal"/>
      <w:lvlText w:val="%1."/>
      <w:lvlJc w:val="left"/>
      <w:pPr>
        <w:ind w:left="689"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1">
      <w:start w:val="1"/>
      <w:numFmt w:val="lowerLetter"/>
      <w:lvlText w:val="%2"/>
      <w:lvlJc w:val="left"/>
      <w:pPr>
        <w:ind w:left="119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2">
      <w:start w:val="1"/>
      <w:numFmt w:val="lowerRoman"/>
      <w:lvlText w:val="%3"/>
      <w:lvlJc w:val="left"/>
      <w:pPr>
        <w:ind w:left="191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3">
      <w:start w:val="1"/>
      <w:numFmt w:val="decimal"/>
      <w:lvlText w:val="%4"/>
      <w:lvlJc w:val="left"/>
      <w:pPr>
        <w:ind w:left="263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4">
      <w:start w:val="1"/>
      <w:numFmt w:val="lowerLetter"/>
      <w:lvlText w:val="%5"/>
      <w:lvlJc w:val="left"/>
      <w:pPr>
        <w:ind w:left="335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5">
      <w:start w:val="1"/>
      <w:numFmt w:val="lowerRoman"/>
      <w:lvlText w:val="%6"/>
      <w:lvlJc w:val="left"/>
      <w:pPr>
        <w:ind w:left="407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6">
      <w:start w:val="1"/>
      <w:numFmt w:val="decimal"/>
      <w:lvlText w:val="%7"/>
      <w:lvlJc w:val="left"/>
      <w:pPr>
        <w:ind w:left="479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7">
      <w:start w:val="1"/>
      <w:numFmt w:val="lowerLetter"/>
      <w:lvlText w:val="%8"/>
      <w:lvlJc w:val="left"/>
      <w:pPr>
        <w:ind w:left="551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8">
      <w:start w:val="1"/>
      <w:numFmt w:val="lowerRoman"/>
      <w:lvlText w:val="%9"/>
      <w:lvlJc w:val="left"/>
      <w:pPr>
        <w:ind w:left="623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abstractNum>
  <w:abstractNum w:abstractNumId="13">
    <w:lvl w:ilvl="0">
      <w:start w:val="67"/>
      <w:numFmt w:val="decimal"/>
      <w:lvlText w:val="%1."/>
      <w:lvlJc w:val="left"/>
      <w:pPr>
        <w:ind w:left="689"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1">
      <w:start w:val="1"/>
      <w:numFmt w:val="lowerLetter"/>
      <w:lvlText w:val="%2"/>
      <w:lvlJc w:val="left"/>
      <w:pPr>
        <w:ind w:left="119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2">
      <w:start w:val="1"/>
      <w:numFmt w:val="lowerRoman"/>
      <w:lvlText w:val="%3"/>
      <w:lvlJc w:val="left"/>
      <w:pPr>
        <w:ind w:left="191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3">
      <w:start w:val="1"/>
      <w:numFmt w:val="decimal"/>
      <w:lvlText w:val="%4"/>
      <w:lvlJc w:val="left"/>
      <w:pPr>
        <w:ind w:left="263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4">
      <w:start w:val="1"/>
      <w:numFmt w:val="lowerLetter"/>
      <w:lvlText w:val="%5"/>
      <w:lvlJc w:val="left"/>
      <w:pPr>
        <w:ind w:left="335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5">
      <w:start w:val="1"/>
      <w:numFmt w:val="lowerRoman"/>
      <w:lvlText w:val="%6"/>
      <w:lvlJc w:val="left"/>
      <w:pPr>
        <w:ind w:left="407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6">
      <w:start w:val="1"/>
      <w:numFmt w:val="decimal"/>
      <w:lvlText w:val="%7"/>
      <w:lvlJc w:val="left"/>
      <w:pPr>
        <w:ind w:left="479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7">
      <w:start w:val="1"/>
      <w:numFmt w:val="lowerLetter"/>
      <w:lvlText w:val="%8"/>
      <w:lvlJc w:val="left"/>
      <w:pPr>
        <w:ind w:left="551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lvl w:ilvl="8">
      <w:start w:val="1"/>
      <w:numFmt w:val="lowerRoman"/>
      <w:lvlText w:val="%9"/>
      <w:lvlJc w:val="left"/>
      <w:pPr>
        <w:ind w:left="6233" w:hanging="360"/>
      </w:pPr>
      <w:rPr>
        <w:dstrike w:val="false"/>
        <w:strike w:val="false"/>
        <w:vertAlign w:val="baseline"/>
        <w:position w:val="0"/>
        <w:sz w:val="20"/>
        <w:sz w:val="20"/>
        <w:i w:val="false"/>
        <w:u w:val="none" w:color="000000"/>
        <w:b w:val="false"/>
        <w:szCs w:val="20"/>
        <w:highlight w:val="white"/>
        <w:rFonts w:eastAsia="Times New Roman" w:cs="Times New Roman"/>
        <w:color w:val="000000"/>
      </w:rPr>
    </w:lvl>
  </w:abstractNum>
  <w:abstractNum w:abstractNumId="1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8"/>
  <w:evenAndOddHeaders/>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l-PL" w:eastAsia="pl-PL"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2686a"/>
    <w:pPr>
      <w:widowControl/>
      <w:bidi w:val="0"/>
      <w:spacing w:lineRule="auto" w:line="266" w:before="0" w:after="5"/>
      <w:ind w:left="272" w:right="470" w:hanging="10"/>
      <w:jc w:val="both"/>
    </w:pPr>
    <w:rPr>
      <w:rFonts w:ascii="Arial" w:hAnsi="Arial" w:eastAsia="Arial" w:cs="Arial"/>
      <w:color w:val="000000"/>
      <w:sz w:val="20"/>
      <w:szCs w:val="22"/>
      <w:lang w:val="pl-PL" w:eastAsia="pl-PL" w:bidi="ar-SA"/>
    </w:rPr>
  </w:style>
  <w:style w:type="paragraph" w:styleId="Nagwek1" w:customStyle="1">
    <w:name w:val="Heading 1"/>
    <w:basedOn w:val="Gwka"/>
    <w:link w:val="Nagwek1Znak"/>
    <w:uiPriority w:val="9"/>
    <w:unhideWhenUsed/>
    <w:qFormat/>
    <w:rsid w:val="0042686a"/>
    <w:pPr>
      <w:keepLines/>
      <w:spacing w:before="0" w:after="21"/>
      <w:jc w:val="left"/>
      <w:outlineLvl w:val="0"/>
    </w:pPr>
    <w:rPr>
      <w:rFonts w:ascii="Arial" w:hAnsi="Arial" w:eastAsia="Arial" w:cs="Arial"/>
      <w:b/>
      <w:sz w:val="20"/>
    </w:rPr>
  </w:style>
  <w:style w:type="paragraph" w:styleId="Nagwek2" w:customStyle="1">
    <w:name w:val="Heading 2"/>
    <w:basedOn w:val="Gwka"/>
    <w:link w:val="Nagwek2Znak"/>
    <w:uiPriority w:val="9"/>
    <w:unhideWhenUsed/>
    <w:qFormat/>
    <w:rsid w:val="0042686a"/>
    <w:pPr>
      <w:keepLines/>
      <w:spacing w:before="0" w:after="21"/>
      <w:jc w:val="left"/>
      <w:outlineLvl w:val="1"/>
    </w:pPr>
    <w:rPr>
      <w:rFonts w:ascii="Arial" w:hAnsi="Arial" w:eastAsia="Arial" w:cs="Arial"/>
      <w:b/>
      <w:sz w:val="20"/>
    </w:rPr>
  </w:style>
  <w:style w:type="paragraph" w:styleId="Nagwek3" w:customStyle="1">
    <w:name w:val="Heading 3"/>
    <w:basedOn w:val="Gwka"/>
    <w:link w:val="Nagwek3Znak"/>
    <w:uiPriority w:val="9"/>
    <w:unhideWhenUsed/>
    <w:qFormat/>
    <w:rsid w:val="0042686a"/>
    <w:pPr>
      <w:keepLines/>
      <w:spacing w:before="0" w:after="21"/>
      <w:jc w:val="left"/>
      <w:outlineLvl w:val="2"/>
    </w:pPr>
    <w:rPr>
      <w:rFonts w:ascii="Arial" w:hAnsi="Arial" w:eastAsia="Arial" w:cs="Arial"/>
      <w:b/>
      <w:sz w:val="20"/>
    </w:rPr>
  </w:style>
  <w:style w:type="character" w:styleId="DefaultParagraphFont" w:default="1">
    <w:name w:val="Default Paragraph Font"/>
    <w:uiPriority w:val="1"/>
    <w:semiHidden/>
    <w:unhideWhenUsed/>
    <w:qFormat/>
    <w:rPr/>
  </w:style>
  <w:style w:type="character" w:styleId="Nagwek1Znak" w:customStyle="1">
    <w:name w:val="Nagłówek 1 Znak"/>
    <w:link w:val="Heading1"/>
    <w:qFormat/>
    <w:rsid w:val="0042686a"/>
    <w:rPr>
      <w:rFonts w:ascii="Arial" w:hAnsi="Arial" w:eastAsia="Arial" w:cs="Arial"/>
      <w:b/>
      <w:color w:val="000000"/>
      <w:sz w:val="20"/>
    </w:rPr>
  </w:style>
  <w:style w:type="character" w:styleId="Nagwek2Znak" w:customStyle="1">
    <w:name w:val="Nagłówek 2 Znak"/>
    <w:link w:val="Heading2"/>
    <w:qFormat/>
    <w:rsid w:val="0042686a"/>
    <w:rPr>
      <w:rFonts w:ascii="Arial" w:hAnsi="Arial" w:eastAsia="Arial" w:cs="Arial"/>
      <w:b/>
      <w:color w:val="000000"/>
      <w:sz w:val="20"/>
    </w:rPr>
  </w:style>
  <w:style w:type="character" w:styleId="Nagwek3Znak" w:customStyle="1">
    <w:name w:val="Nagłówek 3 Znak"/>
    <w:link w:val="Heading3"/>
    <w:qFormat/>
    <w:rsid w:val="0042686a"/>
    <w:rPr>
      <w:rFonts w:ascii="Arial" w:hAnsi="Arial" w:eastAsia="Arial" w:cs="Arial"/>
      <w:b/>
      <w:color w:val="000000"/>
      <w:sz w:val="20"/>
    </w:rPr>
  </w:style>
  <w:style w:type="character" w:styleId="ListLabel1" w:customStyle="1">
    <w:name w:val="ListLabel 1"/>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 w:customStyle="1">
    <w:name w:val="ListLabel 2"/>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3" w:customStyle="1">
    <w:name w:val="ListLabel 3"/>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 w:customStyle="1">
    <w:name w:val="ListLabel 4"/>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5" w:customStyle="1">
    <w:name w:val="ListLabel 5"/>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6" w:customStyle="1">
    <w:name w:val="ListLabel 6"/>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7" w:customStyle="1">
    <w:name w:val="ListLabel 7"/>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 w:customStyle="1">
    <w:name w:val="ListLabel 8"/>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 w:customStyle="1">
    <w:name w:val="ListLabel 9"/>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0" w:customStyle="1">
    <w:name w:val="ListLabel 10"/>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1" w:customStyle="1">
    <w:name w:val="ListLabel 11"/>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2" w:customStyle="1">
    <w:name w:val="ListLabel 12"/>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 w:customStyle="1">
    <w:name w:val="ListLabel 13"/>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4" w:customStyle="1">
    <w:name w:val="ListLabel 14"/>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5" w:customStyle="1">
    <w:name w:val="ListLabel 15"/>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6" w:customStyle="1">
    <w:name w:val="ListLabel 16"/>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7" w:customStyle="1">
    <w:name w:val="ListLabel 17"/>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8" w:customStyle="1">
    <w:name w:val="ListLabel 18"/>
    <w:qFormat/>
    <w:rsid w:val="0042686a"/>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9" w:customStyle="1">
    <w:name w:val="ListLabel 19"/>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0" w:customStyle="1">
    <w:name w:val="ListLabel 20"/>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1" w:customStyle="1">
    <w:name w:val="ListLabel 21"/>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 w:customStyle="1">
    <w:name w:val="ListLabel 22"/>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3" w:customStyle="1">
    <w:name w:val="ListLabel 23"/>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4" w:customStyle="1">
    <w:name w:val="ListLabel 24"/>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5" w:customStyle="1">
    <w:name w:val="ListLabel 25"/>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6" w:customStyle="1">
    <w:name w:val="ListLabel 26"/>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7" w:customStyle="1">
    <w:name w:val="ListLabel 27"/>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8" w:customStyle="1">
    <w:name w:val="ListLabel 28"/>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9" w:customStyle="1">
    <w:name w:val="ListLabel 29"/>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0" w:customStyle="1">
    <w:name w:val="ListLabel 30"/>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1" w:customStyle="1">
    <w:name w:val="ListLabel 31"/>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2" w:customStyle="1">
    <w:name w:val="ListLabel 32"/>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3" w:customStyle="1">
    <w:name w:val="ListLabel 33"/>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4" w:customStyle="1">
    <w:name w:val="ListLabel 34"/>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5" w:customStyle="1">
    <w:name w:val="ListLabel 35"/>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6" w:customStyle="1">
    <w:name w:val="ListLabel 36"/>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37" w:customStyle="1">
    <w:name w:val="ListLabel 37"/>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38" w:customStyle="1">
    <w:name w:val="ListLabel 38"/>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39" w:customStyle="1">
    <w:name w:val="ListLabel 39"/>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0" w:customStyle="1">
    <w:name w:val="ListLabel 40"/>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1" w:customStyle="1">
    <w:name w:val="ListLabel 41"/>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2" w:customStyle="1">
    <w:name w:val="ListLabel 42"/>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3" w:customStyle="1">
    <w:name w:val="ListLabel 43"/>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4" w:customStyle="1">
    <w:name w:val="ListLabel 44"/>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5" w:customStyle="1">
    <w:name w:val="ListLabel 45"/>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46" w:customStyle="1">
    <w:name w:val="ListLabel 46"/>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47" w:customStyle="1">
    <w:name w:val="ListLabel 47"/>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48" w:customStyle="1">
    <w:name w:val="ListLabel 48"/>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49" w:customStyle="1">
    <w:name w:val="ListLabel 49"/>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50" w:customStyle="1">
    <w:name w:val="ListLabel 50"/>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51" w:customStyle="1">
    <w:name w:val="ListLabel 51"/>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52" w:customStyle="1">
    <w:name w:val="ListLabel 52"/>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53" w:customStyle="1">
    <w:name w:val="ListLabel 53"/>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54" w:customStyle="1">
    <w:name w:val="ListLabel 54"/>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55" w:customStyle="1">
    <w:name w:val="ListLabel 55"/>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56" w:customStyle="1">
    <w:name w:val="ListLabel 56"/>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57" w:customStyle="1">
    <w:name w:val="ListLabel 57"/>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58" w:customStyle="1">
    <w:name w:val="ListLabel 58"/>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59" w:customStyle="1">
    <w:name w:val="ListLabel 59"/>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60" w:customStyle="1">
    <w:name w:val="ListLabel 60"/>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61" w:customStyle="1">
    <w:name w:val="ListLabel 61"/>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62" w:customStyle="1">
    <w:name w:val="ListLabel 62"/>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63" w:customStyle="1">
    <w:name w:val="ListLabel 63"/>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64" w:customStyle="1">
    <w:name w:val="ListLabel 64"/>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65" w:customStyle="1">
    <w:name w:val="ListLabel 65"/>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66" w:customStyle="1">
    <w:name w:val="ListLabel 66"/>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67" w:customStyle="1">
    <w:name w:val="ListLabel 67"/>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68" w:customStyle="1">
    <w:name w:val="ListLabel 68"/>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69" w:customStyle="1">
    <w:name w:val="ListLabel 69"/>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0" w:customStyle="1">
    <w:name w:val="ListLabel 70"/>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1" w:customStyle="1">
    <w:name w:val="ListLabel 71"/>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2" w:customStyle="1">
    <w:name w:val="ListLabel 72"/>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3" w:customStyle="1">
    <w:name w:val="ListLabel 73"/>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4" w:customStyle="1">
    <w:name w:val="ListLabel 74"/>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5" w:customStyle="1">
    <w:name w:val="ListLabel 75"/>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6" w:customStyle="1">
    <w:name w:val="ListLabel 76"/>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7" w:customStyle="1">
    <w:name w:val="ListLabel 77"/>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8" w:customStyle="1">
    <w:name w:val="ListLabel 78"/>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79" w:customStyle="1">
    <w:name w:val="ListLabel 79"/>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80" w:customStyle="1">
    <w:name w:val="ListLabel 80"/>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81" w:customStyle="1">
    <w:name w:val="ListLabel 81"/>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82" w:customStyle="1">
    <w:name w:val="ListLabel 82"/>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3" w:customStyle="1">
    <w:name w:val="ListLabel 83"/>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4" w:customStyle="1">
    <w:name w:val="ListLabel 84"/>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5" w:customStyle="1">
    <w:name w:val="ListLabel 85"/>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6" w:customStyle="1">
    <w:name w:val="ListLabel 86"/>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7" w:customStyle="1">
    <w:name w:val="ListLabel 87"/>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8" w:customStyle="1">
    <w:name w:val="ListLabel 88"/>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89" w:customStyle="1">
    <w:name w:val="ListLabel 89"/>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0" w:customStyle="1">
    <w:name w:val="ListLabel 90"/>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1" w:customStyle="1">
    <w:name w:val="ListLabel 91"/>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2" w:customStyle="1">
    <w:name w:val="ListLabel 92"/>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3" w:customStyle="1">
    <w:name w:val="ListLabel 93"/>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4" w:customStyle="1">
    <w:name w:val="ListLabel 94"/>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5" w:customStyle="1">
    <w:name w:val="ListLabel 95"/>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6" w:customStyle="1">
    <w:name w:val="ListLabel 96"/>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7" w:customStyle="1">
    <w:name w:val="ListLabel 97"/>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8" w:customStyle="1">
    <w:name w:val="ListLabel 98"/>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99" w:customStyle="1">
    <w:name w:val="ListLabel 99"/>
    <w:qFormat/>
    <w:rsid w:val="0042686a"/>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00" w:customStyle="1">
    <w:name w:val="ListLabel 100"/>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1" w:customStyle="1">
    <w:name w:val="ListLabel 101"/>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2" w:customStyle="1">
    <w:name w:val="ListLabel 102"/>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3" w:customStyle="1">
    <w:name w:val="ListLabel 103"/>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4" w:customStyle="1">
    <w:name w:val="ListLabel 104"/>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5" w:customStyle="1">
    <w:name w:val="ListLabel 105"/>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6" w:customStyle="1">
    <w:name w:val="ListLabel 106"/>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7" w:customStyle="1">
    <w:name w:val="ListLabel 107"/>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8" w:customStyle="1">
    <w:name w:val="ListLabel 108"/>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09" w:customStyle="1">
    <w:name w:val="ListLabel 109"/>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0" w:customStyle="1">
    <w:name w:val="ListLabel 110"/>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1" w:customStyle="1">
    <w:name w:val="ListLabel 111"/>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2" w:customStyle="1">
    <w:name w:val="ListLabel 112"/>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3" w:customStyle="1">
    <w:name w:val="ListLabel 113"/>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4" w:customStyle="1">
    <w:name w:val="ListLabel 114"/>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5" w:customStyle="1">
    <w:name w:val="ListLabel 115"/>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6" w:customStyle="1">
    <w:name w:val="ListLabel 116"/>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7" w:customStyle="1">
    <w:name w:val="ListLabel 117"/>
    <w:qFormat/>
    <w:rsid w:val="0042686a"/>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118">
    <w:name w:val="ListLabel 118"/>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19">
    <w:name w:val="ListLabel 119"/>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0">
    <w:name w:val="ListLabel 120"/>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1">
    <w:name w:val="ListLabel 121"/>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2">
    <w:name w:val="ListLabel 122"/>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3">
    <w:name w:val="ListLabel 123"/>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4">
    <w:name w:val="ListLabel 124"/>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5">
    <w:name w:val="ListLabel 125"/>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6">
    <w:name w:val="ListLabel 126"/>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27">
    <w:name w:val="ListLabel 127"/>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28">
    <w:name w:val="ListLabel 128"/>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29">
    <w:name w:val="ListLabel 129"/>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0">
    <w:name w:val="ListLabel 130"/>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1">
    <w:name w:val="ListLabel 131"/>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2">
    <w:name w:val="ListLabel 132"/>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3">
    <w:name w:val="ListLabel 133"/>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4">
    <w:name w:val="ListLabel 134"/>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5">
    <w:name w:val="ListLabel 135"/>
    <w:qFormat/>
    <w:rPr>
      <w:rFonts w:eastAsia="Arial" w:cs="Arial"/>
      <w:b/>
      <w:bCs/>
      <w:i w:val="false"/>
      <w:strike w:val="false"/>
      <w:dstrike w:val="false"/>
      <w:color w:val="000000"/>
      <w:position w:val="0"/>
      <w:sz w:val="20"/>
      <w:sz w:val="20"/>
      <w:szCs w:val="20"/>
      <w:highlight w:val="white"/>
      <w:u w:val="none" w:color="000000"/>
      <w:vertAlign w:val="baseline"/>
    </w:rPr>
  </w:style>
  <w:style w:type="character" w:styleId="ListLabel136">
    <w:name w:val="ListLabel 136"/>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37">
    <w:name w:val="ListLabel 137"/>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38">
    <w:name w:val="ListLabel 138"/>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39">
    <w:name w:val="ListLabel 139"/>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0">
    <w:name w:val="ListLabel 140"/>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1">
    <w:name w:val="ListLabel 141"/>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2">
    <w:name w:val="ListLabel 142"/>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3">
    <w:name w:val="ListLabel 143"/>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4">
    <w:name w:val="ListLabel 144"/>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5">
    <w:name w:val="ListLabel 145"/>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6">
    <w:name w:val="ListLabel 146"/>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7">
    <w:name w:val="ListLabel 147"/>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8">
    <w:name w:val="ListLabel 148"/>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49">
    <w:name w:val="ListLabel 149"/>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50">
    <w:name w:val="ListLabel 150"/>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51">
    <w:name w:val="ListLabel 151"/>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52">
    <w:name w:val="ListLabel 152"/>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53">
    <w:name w:val="ListLabel 153"/>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54">
    <w:name w:val="ListLabel 154"/>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55">
    <w:name w:val="ListLabel 155"/>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56">
    <w:name w:val="ListLabel 156"/>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57">
    <w:name w:val="ListLabel 157"/>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58">
    <w:name w:val="ListLabel 158"/>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59">
    <w:name w:val="ListLabel 159"/>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60">
    <w:name w:val="ListLabel 160"/>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61">
    <w:name w:val="ListLabel 161"/>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62">
    <w:name w:val="ListLabel 162"/>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63">
    <w:name w:val="ListLabel 163"/>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64">
    <w:name w:val="ListLabel 164"/>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65">
    <w:name w:val="ListLabel 165"/>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66">
    <w:name w:val="ListLabel 166"/>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67">
    <w:name w:val="ListLabel 167"/>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68">
    <w:name w:val="ListLabel 168"/>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69">
    <w:name w:val="ListLabel 169"/>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70">
    <w:name w:val="ListLabel 170"/>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71">
    <w:name w:val="ListLabel 171"/>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72">
    <w:name w:val="ListLabel 172"/>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73">
    <w:name w:val="ListLabel 173"/>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74">
    <w:name w:val="ListLabel 174"/>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75">
    <w:name w:val="ListLabel 175"/>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76">
    <w:name w:val="ListLabel 176"/>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77">
    <w:name w:val="ListLabel 177"/>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78">
    <w:name w:val="ListLabel 178"/>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79">
    <w:name w:val="ListLabel 179"/>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80">
    <w:name w:val="ListLabel 180"/>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181">
    <w:name w:val="ListLabel 181"/>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2">
    <w:name w:val="ListLabel 182"/>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3">
    <w:name w:val="ListLabel 183"/>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4">
    <w:name w:val="ListLabel 184"/>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5">
    <w:name w:val="ListLabel 185"/>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6">
    <w:name w:val="ListLabel 186"/>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7">
    <w:name w:val="ListLabel 187"/>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8">
    <w:name w:val="ListLabel 188"/>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89">
    <w:name w:val="ListLabel 189"/>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0">
    <w:name w:val="ListLabel 190"/>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1">
    <w:name w:val="ListLabel 191"/>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2">
    <w:name w:val="ListLabel 192"/>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3">
    <w:name w:val="ListLabel 193"/>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4">
    <w:name w:val="ListLabel 194"/>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5">
    <w:name w:val="ListLabel 195"/>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6">
    <w:name w:val="ListLabel 196"/>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7">
    <w:name w:val="ListLabel 197"/>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8">
    <w:name w:val="ListLabel 198"/>
    <w:qFormat/>
    <w:rPr>
      <w:rFonts w:cs="Times New Roman"/>
      <w:b w:val="false"/>
      <w:i w:val="false"/>
      <w:strike w:val="false"/>
      <w:dstrike w:val="false"/>
      <w:color w:val="000000"/>
      <w:position w:val="0"/>
      <w:sz w:val="20"/>
      <w:sz w:val="20"/>
      <w:szCs w:val="20"/>
      <w:highlight w:val="white"/>
      <w:u w:val="none" w:color="000000"/>
      <w:vertAlign w:val="baseline"/>
    </w:rPr>
  </w:style>
  <w:style w:type="character" w:styleId="ListLabel199">
    <w:name w:val="ListLabel 199"/>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0">
    <w:name w:val="ListLabel 200"/>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1">
    <w:name w:val="ListLabel 201"/>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2">
    <w:name w:val="ListLabel 202"/>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3">
    <w:name w:val="ListLabel 203"/>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4">
    <w:name w:val="ListLabel 204"/>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5">
    <w:name w:val="ListLabel 205"/>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6">
    <w:name w:val="ListLabel 206"/>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7">
    <w:name w:val="ListLabel 207"/>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8">
    <w:name w:val="ListLabel 208"/>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09">
    <w:name w:val="ListLabel 209"/>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0">
    <w:name w:val="ListLabel 210"/>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1">
    <w:name w:val="ListLabel 211"/>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2">
    <w:name w:val="ListLabel 212"/>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3">
    <w:name w:val="ListLabel 213"/>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4">
    <w:name w:val="ListLabel 214"/>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5">
    <w:name w:val="ListLabel 215"/>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6">
    <w:name w:val="ListLabel 216"/>
    <w:qFormat/>
    <w:rPr>
      <w:rFonts w:eastAsia="Arial" w:cs="Arial"/>
      <w:b w:val="false"/>
      <w:i w:val="false"/>
      <w:strike w:val="false"/>
      <w:dstrike w:val="false"/>
      <w:color w:val="000000"/>
      <w:position w:val="0"/>
      <w:sz w:val="20"/>
      <w:sz w:val="20"/>
      <w:szCs w:val="20"/>
      <w:highlight w:val="white"/>
      <w:u w:val="none" w:color="000000"/>
      <w:vertAlign w:val="baseline"/>
    </w:rPr>
  </w:style>
  <w:style w:type="character" w:styleId="ListLabel217">
    <w:name w:val="ListLabel 217"/>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18">
    <w:name w:val="ListLabel 218"/>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19">
    <w:name w:val="ListLabel 219"/>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0">
    <w:name w:val="ListLabel 220"/>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1">
    <w:name w:val="ListLabel 221"/>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2">
    <w:name w:val="ListLabel 222"/>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3">
    <w:name w:val="ListLabel 223"/>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4">
    <w:name w:val="ListLabel 224"/>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5">
    <w:name w:val="ListLabel 225"/>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6">
    <w:name w:val="ListLabel 226"/>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7">
    <w:name w:val="ListLabel 227"/>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8">
    <w:name w:val="ListLabel 228"/>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29">
    <w:name w:val="ListLabel 229"/>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30">
    <w:name w:val="ListLabel 230"/>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31">
    <w:name w:val="ListLabel 231"/>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32">
    <w:name w:val="ListLabel 232"/>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33">
    <w:name w:val="ListLabel 233"/>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character" w:styleId="ListLabel234">
    <w:name w:val="ListLabel 234"/>
    <w:qFormat/>
    <w:rPr>
      <w:rFonts w:eastAsia="Times New Roman" w:cs="Times New Roman"/>
      <w:b w:val="false"/>
      <w:i w:val="false"/>
      <w:strike w:val="false"/>
      <w:dstrike w:val="false"/>
      <w:color w:val="000000"/>
      <w:position w:val="0"/>
      <w:sz w:val="20"/>
      <w:sz w:val="20"/>
      <w:szCs w:val="20"/>
      <w:highlight w:val="white"/>
      <w:u w:val="none" w:color="000000"/>
      <w:vertAlign w:val="baseline"/>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rsid w:val="0042686a"/>
    <w:pPr>
      <w:spacing w:lineRule="auto" w:line="288" w:before="0" w:after="140"/>
    </w:pPr>
    <w:rPr/>
  </w:style>
  <w:style w:type="paragraph" w:styleId="Lista">
    <w:name w:val="List"/>
    <w:basedOn w:val="Tretekstu"/>
    <w:rsid w:val="0042686a"/>
    <w:pPr/>
    <w:rPr>
      <w:rFonts w:cs="Mangal"/>
    </w:rPr>
  </w:style>
  <w:style w:type="paragraph" w:styleId="Podpis" w:customStyle="1">
    <w:name w:val="Caption"/>
    <w:basedOn w:val="Normal"/>
    <w:qFormat/>
    <w:rsid w:val="0042686a"/>
    <w:pPr>
      <w:suppressLineNumbers/>
      <w:spacing w:before="120" w:after="120"/>
    </w:pPr>
    <w:rPr>
      <w:rFonts w:cs="Mangal"/>
      <w:i/>
      <w:iCs/>
      <w:sz w:val="24"/>
      <w:szCs w:val="24"/>
    </w:rPr>
  </w:style>
  <w:style w:type="paragraph" w:styleId="Indeks" w:customStyle="1">
    <w:name w:val="Indeks"/>
    <w:basedOn w:val="Normal"/>
    <w:qFormat/>
    <w:rsid w:val="0042686a"/>
    <w:pPr>
      <w:suppressLineNumbers/>
    </w:pPr>
    <w:rPr>
      <w:rFonts w:cs="Mangal"/>
    </w:rPr>
  </w:style>
  <w:style w:type="paragraph" w:styleId="Gwka" w:customStyle="1">
    <w:name w:val="Header"/>
    <w:basedOn w:val="Normal"/>
    <w:rsid w:val="0042686a"/>
    <w:pPr/>
    <w:rPr/>
  </w:style>
  <w:style w:type="paragraph" w:styleId="Stopka" w:customStyle="1">
    <w:name w:val="Footer"/>
    <w:basedOn w:val="Normal"/>
    <w:rsid w:val="0042686a"/>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table" w:customStyle="1" w:styleId="TableGrid">
    <w:name w:val="TableGrid"/>
    <w:rsid w:val="0042686a"/>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LibreOffice/5.1.3.2$Windows_x86 LibreOffice_project/644e4637d1d8544fd9f56425bd6cec110e49301b</Application>
  <Pages>31</Pages>
  <Words>9460</Words>
  <Characters>61523</Characters>
  <CharactersWithSpaces>71119</CharactersWithSpaces>
  <Paragraphs>1076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2018-06-21T08:48:00Z</dcterms:created>
  <dc:creator>x</dc:creator>
  <dc:description/>
  <dc:language>pl-PL</dc:language>
  <cp:lastModifiedBy/>
  <dcterms:modified xsi:type="dcterms:W3CDTF">2019-05-02T08:55:24Z</dcterms:modified>
  <cp:revision>12</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